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22" w:rsidRPr="003C6D7E" w:rsidRDefault="003C6D7E" w:rsidP="00A9430B">
      <w:pPr>
        <w:pStyle w:val="Heading1"/>
        <w:rPr>
          <w:sz w:val="36"/>
          <w:szCs w:val="36"/>
        </w:rPr>
      </w:pPr>
      <w:r>
        <w:rPr>
          <w:sz w:val="36"/>
          <w:szCs w:val="36"/>
        </w:rPr>
        <w:t>WATER</w:t>
      </w:r>
    </w:p>
    <w:p w:rsidR="00193A67" w:rsidRPr="00586D6F" w:rsidRDefault="00586D6F" w:rsidP="00A9430B">
      <w:pPr>
        <w:rPr>
          <w:rFonts w:eastAsiaTheme="minorHAnsi" w:cs="Arial"/>
          <w:color w:val="auto"/>
        </w:rPr>
      </w:pPr>
      <w:r w:rsidRPr="00586D6F">
        <w:rPr>
          <w:rFonts w:eastAsiaTheme="minorHAnsi" w:cs="Arial"/>
          <w:color w:val="auto"/>
        </w:rPr>
        <w:t xml:space="preserve">Given water’s central role in society and the environment, and the pressures and challenges facing water supply in the Australian Capital Territory (ACT), it is imperative that </w:t>
      </w:r>
      <w:r w:rsidR="00070D0D">
        <w:rPr>
          <w:rFonts w:eastAsiaTheme="minorHAnsi" w:cs="Arial"/>
          <w:color w:val="auto"/>
        </w:rPr>
        <w:t xml:space="preserve">the condition of the Territory’s water resources is </w:t>
      </w:r>
      <w:r w:rsidRPr="00586D6F">
        <w:rPr>
          <w:rFonts w:eastAsiaTheme="minorHAnsi" w:cs="Arial"/>
          <w:color w:val="auto"/>
        </w:rPr>
        <w:t>monitor</w:t>
      </w:r>
      <w:r w:rsidR="00070D0D">
        <w:rPr>
          <w:rFonts w:eastAsiaTheme="minorHAnsi" w:cs="Arial"/>
          <w:color w:val="auto"/>
        </w:rPr>
        <w:t xml:space="preserve">ed, </w:t>
      </w:r>
      <w:r w:rsidRPr="00586D6F">
        <w:rPr>
          <w:rFonts w:eastAsiaTheme="minorHAnsi" w:cs="Arial"/>
          <w:color w:val="auto"/>
        </w:rPr>
        <w:t>assess</w:t>
      </w:r>
      <w:r w:rsidR="00070D0D">
        <w:rPr>
          <w:rFonts w:eastAsiaTheme="minorHAnsi" w:cs="Arial"/>
          <w:color w:val="auto"/>
        </w:rPr>
        <w:t>ed and, consequently, managed effectively.</w:t>
      </w:r>
      <w:r w:rsidR="00B44F27">
        <w:rPr>
          <w:rFonts w:eastAsiaTheme="minorHAnsi" w:cs="Arial"/>
          <w:color w:val="auto"/>
        </w:rPr>
        <w:t xml:space="preserve"> </w:t>
      </w:r>
    </w:p>
    <w:p w:rsidR="00193A67" w:rsidRDefault="0011665F" w:rsidP="00A9430B">
      <w:pPr>
        <w:pStyle w:val="Heading2"/>
      </w:pPr>
      <w:r>
        <w:t xml:space="preserve">Measuring </w:t>
      </w:r>
      <w:r w:rsidR="003C6D7E">
        <w:t>w</w:t>
      </w:r>
      <w:r w:rsidR="004A697A">
        <w:t xml:space="preserve">ater </w:t>
      </w:r>
      <w:r w:rsidR="003C6D7E">
        <w:t>r</w:t>
      </w:r>
      <w:r w:rsidR="004A697A">
        <w:t>esources in the ACT</w:t>
      </w:r>
    </w:p>
    <w:p w:rsidR="00A9430B" w:rsidRPr="000C55C5" w:rsidRDefault="00F4299E" w:rsidP="00A9430B">
      <w:pPr>
        <w:pStyle w:val="bodytext"/>
      </w:pPr>
      <w:r>
        <w:rPr>
          <w:noProof/>
          <w:lang w:val="en-AU" w:eastAsia="en-AU" w:bidi="ar-SA"/>
        </w:rPr>
        <w:pict>
          <v:shapetype id="_x0000_t202" coordsize="21600,21600" o:spt="202" path="m,l,21600r21600,l21600,xe">
            <v:stroke joinstyle="miter"/>
            <v:path gradientshapeok="t" o:connecttype="rect"/>
          </v:shapetype>
          <v:shape id="_x0000_s1040" type="#_x0000_t202" style="position:absolute;margin-left:237.55pt;margin-top:6.25pt;width:233.65pt;height:353.75pt;z-index:-251653120;mso-width-relative:margin;mso-height-relative:margin" wrapcoords="-69 -45 -69 21555 21669 21555 21669 -45 -69 -45" strokecolor="#f9b268 [1940]">
            <v:textbox style="mso-next-textbox:#_x0000_s1040">
              <w:txbxContent>
                <w:p w:rsidR="006A20D4" w:rsidRPr="000C55C5" w:rsidRDefault="006F40DC" w:rsidP="006A20D4">
                  <w:pPr>
                    <w:rPr>
                      <w:sz w:val="18"/>
                      <w:szCs w:val="18"/>
                    </w:rPr>
                  </w:pPr>
                  <w:r>
                    <w:rPr>
                      <w:noProof/>
                      <w:sz w:val="18"/>
                      <w:szCs w:val="18"/>
                      <w:lang w:val="en-AU" w:eastAsia="en-AU" w:bidi="ar-SA"/>
                    </w:rPr>
                    <w:drawing>
                      <wp:inline distT="0" distB="0" distL="0" distR="0">
                        <wp:extent cx="2780725" cy="3838755"/>
                        <wp:effectExtent l="19050" t="0" r="575" b="0"/>
                        <wp:docPr id="1" name="Picture 0" descr="ACT Water Supply network. (A1171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Water Supply network. (A11713860).jpg"/>
                                <pic:cNvPicPr/>
                              </pic:nvPicPr>
                              <pic:blipFill>
                                <a:blip r:embed="rId8" cstate="email"/>
                                <a:srcRect l="4011" t="2198" r="8677"/>
                                <a:stretch>
                                  <a:fillRect/>
                                </a:stretch>
                              </pic:blipFill>
                              <pic:spPr>
                                <a:xfrm>
                                  <a:off x="0" y="0"/>
                                  <a:ext cx="2780725" cy="3838755"/>
                                </a:xfrm>
                                <a:prstGeom prst="rect">
                                  <a:avLst/>
                                </a:prstGeom>
                              </pic:spPr>
                            </pic:pic>
                          </a:graphicData>
                        </a:graphic>
                      </wp:inline>
                    </w:drawing>
                  </w:r>
                  <w:r w:rsidR="006A20D4" w:rsidRPr="006F40DC">
                    <w:rPr>
                      <w:b/>
                      <w:sz w:val="18"/>
                      <w:szCs w:val="18"/>
                    </w:rPr>
                    <w:t>ACT Water Supply network.</w:t>
                  </w:r>
                  <w:r w:rsidRPr="006F40DC">
                    <w:rPr>
                      <w:b/>
                      <w:sz w:val="18"/>
                      <w:szCs w:val="18"/>
                    </w:rPr>
                    <w:t xml:space="preserve"> </w:t>
                  </w:r>
                  <w:r w:rsidR="006A20D4" w:rsidRPr="006F40DC">
                    <w:rPr>
                      <w:b/>
                      <w:sz w:val="18"/>
                      <w:szCs w:val="18"/>
                    </w:rPr>
                    <w:t xml:space="preserve">The ACT draws water from 3 separate catchments – Cotter, </w:t>
                  </w:r>
                  <w:proofErr w:type="spellStart"/>
                  <w:r w:rsidR="006A20D4" w:rsidRPr="006F40DC">
                    <w:rPr>
                      <w:b/>
                      <w:sz w:val="18"/>
                      <w:szCs w:val="18"/>
                    </w:rPr>
                    <w:t>Queanbeyan</w:t>
                  </w:r>
                  <w:proofErr w:type="spellEnd"/>
                  <w:r w:rsidR="006A20D4" w:rsidRPr="006F40DC">
                    <w:rPr>
                      <w:b/>
                      <w:sz w:val="18"/>
                      <w:szCs w:val="18"/>
                    </w:rPr>
                    <w:t xml:space="preserve"> and </w:t>
                  </w:r>
                  <w:proofErr w:type="spellStart"/>
                  <w:r w:rsidR="006A20D4" w:rsidRPr="006F40DC">
                    <w:rPr>
                      <w:b/>
                      <w:sz w:val="18"/>
                      <w:szCs w:val="18"/>
                    </w:rPr>
                    <w:t>Murrumbidgee</w:t>
                  </w:r>
                  <w:proofErr w:type="spellEnd"/>
                  <w:r w:rsidR="006A20D4" w:rsidRPr="006F40DC">
                    <w:rPr>
                      <w:b/>
                      <w:sz w:val="18"/>
                      <w:szCs w:val="18"/>
                    </w:rPr>
                    <w:t xml:space="preserve"> River Catchments</w:t>
                  </w:r>
                  <w:r w:rsidR="000C55C5">
                    <w:rPr>
                      <w:sz w:val="18"/>
                      <w:szCs w:val="18"/>
                    </w:rPr>
                    <w:t xml:space="preserve"> </w:t>
                  </w:r>
                  <w:r w:rsidR="006A20D4" w:rsidRPr="0091243F">
                    <w:rPr>
                      <w:b/>
                      <w:sz w:val="18"/>
                      <w:szCs w:val="18"/>
                    </w:rPr>
                    <w:t>Source: Icon Water</w:t>
                  </w:r>
                </w:p>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Default="006A20D4" w:rsidP="006A20D4"/>
                <w:p w:rsidR="006A20D4" w:rsidRPr="0040696A" w:rsidRDefault="006A20D4" w:rsidP="006A20D4">
                  <w:r w:rsidRPr="0040696A">
                    <w:t xml:space="preserve">Insert map (Fig 6.10 from SoER with caption: </w:t>
                  </w:r>
                  <w:r>
                    <w:t>(IF IT FITS)!</w:t>
                  </w:r>
                  <w:r w:rsidRPr="0040696A">
                    <w:br/>
                    <w:t xml:space="preserve">The ACT draws water from 3 separate catchments – Cotter, </w:t>
                  </w:r>
                  <w:proofErr w:type="spellStart"/>
                  <w:r w:rsidRPr="0040696A">
                    <w:t>Queanbeyan</w:t>
                  </w:r>
                  <w:proofErr w:type="spellEnd"/>
                  <w:r w:rsidRPr="0040696A">
                    <w:t xml:space="preserve"> and </w:t>
                  </w:r>
                  <w:proofErr w:type="spellStart"/>
                  <w:r w:rsidRPr="0040696A">
                    <w:t>Murrumbidgee</w:t>
                  </w:r>
                  <w:proofErr w:type="spellEnd"/>
                  <w:r w:rsidRPr="0040696A">
                    <w:t xml:space="preserve"> River Catchments</w:t>
                  </w:r>
                </w:p>
              </w:txbxContent>
            </v:textbox>
            <w10:wrap type="tight"/>
          </v:shape>
        </w:pict>
      </w:r>
      <w:r w:rsidR="0024228C">
        <w:t xml:space="preserve">To assess how water resources in the </w:t>
      </w:r>
      <w:r w:rsidR="000C55C5">
        <w:t>ACT</w:t>
      </w:r>
      <w:r w:rsidR="0024228C">
        <w:t xml:space="preserve"> are responding to pressures from land use, climate and water resource development, a range of water-related indicators </w:t>
      </w:r>
      <w:r w:rsidR="00053BB0">
        <w:t>were examined</w:t>
      </w:r>
      <w:r w:rsidR="0024228C">
        <w:t xml:space="preserve">. Data on these indicators are collected at different places and times throughout the Territory to </w:t>
      </w:r>
      <w:r w:rsidR="004A697A">
        <w:t xml:space="preserve">provide an assessment of </w:t>
      </w:r>
      <w:r w:rsidR="0024228C">
        <w:t>the current condition (state) of water resources in the ACT and how their condition is changing over time (trend).</w:t>
      </w:r>
      <w:r w:rsidR="000C55C5">
        <w:t xml:space="preserve"> </w:t>
      </w:r>
      <w:r w:rsidR="00A9430B" w:rsidRPr="00340762">
        <w:rPr>
          <w:lang w:val="en-AU" w:bidi="ar-SA"/>
        </w:rPr>
        <w:t xml:space="preserve">The following indicators </w:t>
      </w:r>
      <w:r w:rsidR="000C55C5">
        <w:rPr>
          <w:lang w:val="en-AU" w:bidi="ar-SA"/>
        </w:rPr>
        <w:t xml:space="preserve">were used to assess </w:t>
      </w:r>
      <w:r w:rsidR="000C55C5">
        <w:t>the amount, quality and ecological condition of waters in the ACT</w:t>
      </w:r>
      <w:r w:rsidR="00A9430B" w:rsidRPr="00340762">
        <w:rPr>
          <w:lang w:val="en-AU" w:bidi="ar-SA"/>
        </w:rPr>
        <w:t xml:space="preserve">: </w:t>
      </w:r>
    </w:p>
    <w:p w:rsidR="0011665F" w:rsidRPr="00A8595C" w:rsidRDefault="0011665F" w:rsidP="00A8595C">
      <w:pPr>
        <w:pStyle w:val="Heading4"/>
        <w:pBdr>
          <w:bottom w:val="single" w:sz="4" w:space="2" w:color="FBCB9A" w:themeColor="accent1" w:themeTint="66"/>
        </w:pBdr>
        <w:rPr>
          <w:color w:val="F07F09" w:themeColor="accent1"/>
        </w:rPr>
      </w:pPr>
      <w:r w:rsidRPr="00A8595C">
        <w:rPr>
          <w:color w:val="F07F09" w:themeColor="accent1"/>
        </w:rPr>
        <w:t xml:space="preserve">State and </w:t>
      </w:r>
      <w:r w:rsidR="003C6D7E" w:rsidRPr="00A8595C">
        <w:rPr>
          <w:color w:val="F07F09" w:themeColor="accent1"/>
        </w:rPr>
        <w:t>t</w:t>
      </w:r>
      <w:r w:rsidRPr="00A8595C">
        <w:rPr>
          <w:color w:val="F07F09" w:themeColor="accent1"/>
        </w:rPr>
        <w:t xml:space="preserve">rends </w:t>
      </w:r>
    </w:p>
    <w:p w:rsidR="0011665F" w:rsidRPr="000C55C5" w:rsidRDefault="0024228C" w:rsidP="000C55C5">
      <w:pPr>
        <w:pStyle w:val="bulletlist"/>
      </w:pPr>
      <w:r w:rsidRPr="000C55C5">
        <w:t>Surface water quality</w:t>
      </w:r>
    </w:p>
    <w:p w:rsidR="0011665F" w:rsidRPr="000C55C5" w:rsidRDefault="0024228C" w:rsidP="000C55C5">
      <w:pPr>
        <w:pStyle w:val="bulletlist"/>
      </w:pPr>
      <w:r w:rsidRPr="000C55C5">
        <w:t>Ground water quality and availability</w:t>
      </w:r>
    </w:p>
    <w:p w:rsidR="0024228C" w:rsidRPr="000C55C5" w:rsidRDefault="0024228C" w:rsidP="000C55C5">
      <w:pPr>
        <w:pStyle w:val="bulletlist"/>
      </w:pPr>
      <w:r w:rsidRPr="000C55C5">
        <w:t>Drinking water quality</w:t>
      </w:r>
    </w:p>
    <w:p w:rsidR="007E268C" w:rsidRPr="000C55C5" w:rsidRDefault="0024228C" w:rsidP="000C55C5">
      <w:pPr>
        <w:pStyle w:val="bulletlist"/>
      </w:pPr>
      <w:r w:rsidRPr="000C55C5">
        <w:t>River flow</w:t>
      </w:r>
      <w:r w:rsidR="007E268C" w:rsidRPr="000C55C5">
        <w:t xml:space="preserve"> </w:t>
      </w:r>
    </w:p>
    <w:p w:rsidR="0024228C" w:rsidRPr="000C55C5" w:rsidRDefault="007E268C" w:rsidP="000C55C5">
      <w:pPr>
        <w:pStyle w:val="bulletlist"/>
      </w:pPr>
      <w:r w:rsidRPr="000C55C5">
        <w:t xml:space="preserve">River </w:t>
      </w:r>
      <w:r w:rsidR="0024228C" w:rsidRPr="000C55C5">
        <w:t>condition</w:t>
      </w:r>
    </w:p>
    <w:p w:rsidR="0011665F" w:rsidRPr="00A8595C" w:rsidRDefault="0024228C" w:rsidP="00A8595C">
      <w:pPr>
        <w:pStyle w:val="Heading4"/>
        <w:pBdr>
          <w:bottom w:val="single" w:sz="4" w:space="2" w:color="FBCB9A" w:themeColor="accent1" w:themeTint="66"/>
        </w:pBdr>
        <w:rPr>
          <w:color w:val="F07F09" w:themeColor="accent1"/>
        </w:rPr>
      </w:pPr>
      <w:r w:rsidRPr="00A8595C">
        <w:rPr>
          <w:color w:val="F07F09" w:themeColor="accent1"/>
        </w:rPr>
        <w:t xml:space="preserve">Pressures </w:t>
      </w:r>
    </w:p>
    <w:p w:rsidR="0011665F" w:rsidRPr="000C55C5" w:rsidRDefault="0024228C" w:rsidP="000C55C5">
      <w:pPr>
        <w:pStyle w:val="bulletlist"/>
      </w:pPr>
      <w:r w:rsidRPr="000C55C5">
        <w:t>Climate change and variability</w:t>
      </w:r>
    </w:p>
    <w:p w:rsidR="0011665F" w:rsidRPr="000C55C5" w:rsidRDefault="003B431C" w:rsidP="000C55C5">
      <w:pPr>
        <w:pStyle w:val="bulletlist"/>
      </w:pPr>
      <w:r>
        <w:t xml:space="preserve">Land </w:t>
      </w:r>
      <w:r w:rsidR="004A697A" w:rsidRPr="000C55C5">
        <w:t xml:space="preserve">use </w:t>
      </w:r>
      <w:r w:rsidR="007E268C" w:rsidRPr="000C55C5">
        <w:t>and management</w:t>
      </w:r>
    </w:p>
    <w:p w:rsidR="004A697A" w:rsidRPr="000C55C5" w:rsidRDefault="004A697A" w:rsidP="000C55C5">
      <w:pPr>
        <w:pStyle w:val="bulletlist"/>
      </w:pPr>
      <w:r w:rsidRPr="000C55C5">
        <w:t>Water resource development</w:t>
      </w:r>
    </w:p>
    <w:p w:rsidR="00193A67" w:rsidRPr="006A20D4" w:rsidRDefault="004E3668" w:rsidP="006A20D4">
      <w:pPr>
        <w:pStyle w:val="Heading4"/>
        <w:rPr>
          <w:sz w:val="28"/>
          <w:szCs w:val="28"/>
        </w:rPr>
      </w:pPr>
      <w:r w:rsidRPr="004E3668">
        <w:rPr>
          <w:sz w:val="28"/>
          <w:szCs w:val="28"/>
        </w:rPr>
        <w:t>MAIN FINDINGS</w:t>
      </w:r>
    </w:p>
    <w:p w:rsidR="0040696A" w:rsidRPr="003C6D7E" w:rsidRDefault="0040696A" w:rsidP="003C6D7E">
      <w:pPr>
        <w:pStyle w:val="Heading2"/>
      </w:pPr>
      <w:r w:rsidRPr="003C6D7E">
        <w:t xml:space="preserve">State and Trends </w:t>
      </w:r>
    </w:p>
    <w:p w:rsidR="00E2717C" w:rsidRPr="00904D44" w:rsidRDefault="00E2717C" w:rsidP="00661D4E">
      <w:pPr>
        <w:pStyle w:val="Heading3"/>
      </w:pPr>
      <w:r w:rsidRPr="00904D44">
        <w:t>Surface water quality</w:t>
      </w:r>
    </w:p>
    <w:p w:rsidR="00F439DE" w:rsidRDefault="00F439DE" w:rsidP="00A9430B">
      <w:pPr>
        <w:pStyle w:val="bodytext"/>
      </w:pPr>
      <w:r>
        <w:t>W</w:t>
      </w:r>
      <w:r w:rsidR="00272F70">
        <w:t xml:space="preserve">ater quality is regularly assessed </w:t>
      </w:r>
      <w:r>
        <w:t>using ni</w:t>
      </w:r>
      <w:r w:rsidR="003B3CB0">
        <w:t>ne indicators pres</w:t>
      </w:r>
      <w:r w:rsidR="00586D6F">
        <w:t xml:space="preserve">cribed by regulatory guidelines. The results of these assessments are </w:t>
      </w:r>
      <w:proofErr w:type="spellStart"/>
      <w:r w:rsidR="00586D6F">
        <w:t>summari</w:t>
      </w:r>
      <w:r w:rsidR="00B44F27">
        <w:t>s</w:t>
      </w:r>
      <w:r w:rsidR="00586D6F">
        <w:t>ed</w:t>
      </w:r>
      <w:proofErr w:type="spellEnd"/>
      <w:r w:rsidR="00586D6F">
        <w:t xml:space="preserve"> in Table 1. </w:t>
      </w:r>
    </w:p>
    <w:p w:rsidR="000C55C5" w:rsidRDefault="000C55C5" w:rsidP="00A9430B">
      <w:pPr>
        <w:pStyle w:val="bodytext"/>
      </w:pPr>
      <w:r w:rsidRPr="006F40DC">
        <w:rPr>
          <w:b/>
          <w:sz w:val="18"/>
          <w:szCs w:val="20"/>
        </w:rPr>
        <w:t>Table 1</w:t>
      </w:r>
      <w:r>
        <w:rPr>
          <w:b/>
          <w:sz w:val="18"/>
          <w:szCs w:val="20"/>
        </w:rPr>
        <w:t>:</w:t>
      </w:r>
      <w:r w:rsidRPr="006F40DC">
        <w:rPr>
          <w:b/>
          <w:sz w:val="18"/>
          <w:szCs w:val="20"/>
        </w:rPr>
        <w:t xml:space="preserve"> Water quality state and trend 2011-15</w:t>
      </w:r>
      <w:r w:rsidRPr="006F40DC">
        <w:rPr>
          <w:b/>
          <w:sz w:val="20"/>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204"/>
        <w:gridCol w:w="1275"/>
      </w:tblGrid>
      <w:tr w:rsidR="0017408D" w:rsidRPr="0017408D" w:rsidTr="000C55C5">
        <w:trPr>
          <w:tblHeader/>
        </w:trPr>
        <w:tc>
          <w:tcPr>
            <w:tcW w:w="1701" w:type="dxa"/>
            <w:shd w:val="clear" w:color="auto" w:fill="FDE0C3"/>
          </w:tcPr>
          <w:p w:rsidR="0017408D" w:rsidRPr="0017408D" w:rsidRDefault="0017408D" w:rsidP="003C007E">
            <w:pPr>
              <w:pStyle w:val="bodytext"/>
              <w:jc w:val="center"/>
              <w:rPr>
                <w:b/>
              </w:rPr>
            </w:pPr>
            <w:r w:rsidRPr="0017408D">
              <w:rPr>
                <w:b/>
              </w:rPr>
              <w:t>Indicator</w:t>
            </w:r>
          </w:p>
        </w:tc>
        <w:tc>
          <w:tcPr>
            <w:tcW w:w="6204" w:type="dxa"/>
            <w:shd w:val="clear" w:color="auto" w:fill="FDE0C3"/>
          </w:tcPr>
          <w:p w:rsidR="004A355B" w:rsidRDefault="0017408D">
            <w:pPr>
              <w:pStyle w:val="bodytext"/>
              <w:jc w:val="center"/>
              <w:rPr>
                <w:b/>
              </w:rPr>
            </w:pPr>
            <w:r w:rsidRPr="0017408D">
              <w:rPr>
                <w:b/>
              </w:rPr>
              <w:t xml:space="preserve">Summary of results </w:t>
            </w:r>
          </w:p>
        </w:tc>
        <w:tc>
          <w:tcPr>
            <w:tcW w:w="1275" w:type="dxa"/>
            <w:shd w:val="clear" w:color="auto" w:fill="FDE0C3"/>
          </w:tcPr>
          <w:p w:rsidR="004A355B" w:rsidRDefault="003C007E">
            <w:pPr>
              <w:pStyle w:val="bodytext"/>
              <w:spacing w:before="0" w:after="0"/>
              <w:jc w:val="center"/>
              <w:rPr>
                <w:b/>
              </w:rPr>
            </w:pPr>
            <w:r w:rsidRPr="0017408D">
              <w:rPr>
                <w:b/>
              </w:rPr>
              <w:t>Against 2007-11</w:t>
            </w:r>
          </w:p>
        </w:tc>
      </w:tr>
      <w:tr w:rsidR="0017408D" w:rsidRPr="00F66E4D" w:rsidTr="000C55C5">
        <w:tc>
          <w:tcPr>
            <w:tcW w:w="1701" w:type="dxa"/>
          </w:tcPr>
          <w:p w:rsidR="0017408D" w:rsidRPr="00F66E4D" w:rsidRDefault="0017408D" w:rsidP="0017408D">
            <w:pPr>
              <w:spacing w:before="0" w:after="0"/>
              <w:rPr>
                <w:sz w:val="20"/>
                <w:szCs w:val="20"/>
              </w:rPr>
            </w:pPr>
            <w:r w:rsidRPr="00F66E4D">
              <w:rPr>
                <w:sz w:val="20"/>
                <w:szCs w:val="20"/>
              </w:rPr>
              <w:t>Overall Surface Water quality</w:t>
            </w:r>
          </w:p>
        </w:tc>
        <w:tc>
          <w:tcPr>
            <w:tcW w:w="6204" w:type="dxa"/>
          </w:tcPr>
          <w:p w:rsidR="0017408D" w:rsidRPr="00F66E4D" w:rsidRDefault="0017408D" w:rsidP="0017408D">
            <w:pPr>
              <w:spacing w:before="0" w:after="0"/>
              <w:rPr>
                <w:sz w:val="20"/>
                <w:szCs w:val="20"/>
              </w:rPr>
            </w:pPr>
            <w:r w:rsidRPr="006F40DC">
              <w:rPr>
                <w:b/>
                <w:sz w:val="20"/>
                <w:szCs w:val="20"/>
              </w:rPr>
              <w:t>Good</w:t>
            </w:r>
            <w:r w:rsidRPr="00F66E4D">
              <w:rPr>
                <w:sz w:val="20"/>
                <w:szCs w:val="20"/>
              </w:rPr>
              <w:t xml:space="preserve"> – the average of all measures indicates that overall surface water quality has improved.</w:t>
            </w:r>
          </w:p>
        </w:tc>
        <w:tc>
          <w:tcPr>
            <w:tcW w:w="1275" w:type="dxa"/>
          </w:tcPr>
          <w:p w:rsidR="0017408D" w:rsidRPr="00F66E4D" w:rsidRDefault="0017408D" w:rsidP="0017408D">
            <w:pPr>
              <w:spacing w:before="0" w:after="0"/>
              <w:rPr>
                <w:sz w:val="20"/>
                <w:szCs w:val="20"/>
              </w:rPr>
            </w:pPr>
            <w:r w:rsidRPr="00F66E4D">
              <w:rPr>
                <w:sz w:val="20"/>
                <w:szCs w:val="20"/>
              </w:rPr>
              <w:t>Improved</w:t>
            </w:r>
          </w:p>
        </w:tc>
      </w:tr>
      <w:tr w:rsidR="0017408D" w:rsidRPr="00F66E4D" w:rsidTr="000C55C5">
        <w:tc>
          <w:tcPr>
            <w:tcW w:w="1701" w:type="dxa"/>
          </w:tcPr>
          <w:p w:rsidR="0017408D" w:rsidRPr="00F66E4D" w:rsidRDefault="0017408D" w:rsidP="0017408D">
            <w:pPr>
              <w:spacing w:before="0" w:after="0"/>
              <w:rPr>
                <w:sz w:val="20"/>
                <w:szCs w:val="20"/>
              </w:rPr>
            </w:pPr>
            <w:r w:rsidRPr="00F66E4D">
              <w:rPr>
                <w:sz w:val="20"/>
                <w:szCs w:val="20"/>
              </w:rPr>
              <w:t xml:space="preserve">Conductivity </w:t>
            </w:r>
          </w:p>
        </w:tc>
        <w:tc>
          <w:tcPr>
            <w:tcW w:w="6204" w:type="dxa"/>
          </w:tcPr>
          <w:p w:rsidR="0017408D" w:rsidRPr="00F66E4D" w:rsidRDefault="0017408D" w:rsidP="0017408D">
            <w:pPr>
              <w:spacing w:before="0" w:after="0"/>
              <w:rPr>
                <w:sz w:val="20"/>
                <w:szCs w:val="20"/>
              </w:rPr>
            </w:pPr>
            <w:r w:rsidRPr="006F40DC">
              <w:rPr>
                <w:b/>
                <w:sz w:val="20"/>
                <w:szCs w:val="20"/>
              </w:rPr>
              <w:t>Very good</w:t>
            </w:r>
            <w:r w:rsidRPr="00F66E4D">
              <w:rPr>
                <w:sz w:val="20"/>
                <w:szCs w:val="20"/>
              </w:rPr>
              <w:t>- Levels exceeded guideline levels at 9.5% of sites, mostly in areas influenced by urban land use.</w:t>
            </w:r>
          </w:p>
        </w:tc>
        <w:tc>
          <w:tcPr>
            <w:tcW w:w="1275" w:type="dxa"/>
          </w:tcPr>
          <w:p w:rsidR="0017408D" w:rsidRPr="00F66E4D" w:rsidRDefault="0017408D" w:rsidP="0017408D">
            <w:pPr>
              <w:spacing w:before="0" w:after="0"/>
              <w:rPr>
                <w:sz w:val="20"/>
                <w:szCs w:val="20"/>
              </w:rPr>
            </w:pPr>
            <w:r w:rsidRPr="00F66E4D">
              <w:rPr>
                <w:sz w:val="20"/>
                <w:szCs w:val="20"/>
              </w:rPr>
              <w:t>Steady</w:t>
            </w:r>
          </w:p>
        </w:tc>
      </w:tr>
      <w:tr w:rsidR="0017408D" w:rsidRPr="00F66E4D" w:rsidTr="000C55C5">
        <w:tc>
          <w:tcPr>
            <w:tcW w:w="1701" w:type="dxa"/>
          </w:tcPr>
          <w:p w:rsidR="0017408D" w:rsidRPr="00F66E4D" w:rsidRDefault="0017408D" w:rsidP="0017408D">
            <w:pPr>
              <w:spacing w:before="0" w:after="0"/>
              <w:rPr>
                <w:sz w:val="20"/>
                <w:szCs w:val="20"/>
              </w:rPr>
            </w:pPr>
            <w:r w:rsidRPr="00F66E4D">
              <w:rPr>
                <w:sz w:val="20"/>
                <w:szCs w:val="20"/>
              </w:rPr>
              <w:t xml:space="preserve">pH </w:t>
            </w:r>
          </w:p>
        </w:tc>
        <w:tc>
          <w:tcPr>
            <w:tcW w:w="6204" w:type="dxa"/>
          </w:tcPr>
          <w:p w:rsidR="0017408D" w:rsidRPr="00F66E4D" w:rsidRDefault="0017408D" w:rsidP="0017408D">
            <w:pPr>
              <w:spacing w:before="0" w:after="0"/>
              <w:rPr>
                <w:sz w:val="20"/>
                <w:szCs w:val="20"/>
              </w:rPr>
            </w:pPr>
            <w:r w:rsidRPr="00F66E4D">
              <w:rPr>
                <w:sz w:val="20"/>
                <w:szCs w:val="20"/>
              </w:rPr>
              <w:t xml:space="preserve"> </w:t>
            </w:r>
            <w:r w:rsidRPr="006F40DC">
              <w:rPr>
                <w:b/>
                <w:sz w:val="20"/>
                <w:szCs w:val="20"/>
              </w:rPr>
              <w:t>Very good</w:t>
            </w:r>
            <w:r w:rsidRPr="00F66E4D">
              <w:rPr>
                <w:sz w:val="20"/>
                <w:szCs w:val="20"/>
              </w:rPr>
              <w:t xml:space="preserve"> - pH values outside guideline range infrequently (only 2% of </w:t>
            </w:r>
            <w:r w:rsidRPr="00F66E4D">
              <w:rPr>
                <w:sz w:val="20"/>
                <w:szCs w:val="20"/>
              </w:rPr>
              <w:lastRenderedPageBreak/>
              <w:t>samples)</w:t>
            </w:r>
          </w:p>
        </w:tc>
        <w:tc>
          <w:tcPr>
            <w:tcW w:w="1275" w:type="dxa"/>
          </w:tcPr>
          <w:p w:rsidR="0017408D" w:rsidRPr="00F66E4D" w:rsidRDefault="0017408D" w:rsidP="0017408D">
            <w:pPr>
              <w:spacing w:before="0" w:after="0"/>
              <w:rPr>
                <w:sz w:val="20"/>
                <w:szCs w:val="20"/>
              </w:rPr>
            </w:pPr>
            <w:r w:rsidRPr="00F66E4D">
              <w:rPr>
                <w:sz w:val="20"/>
                <w:szCs w:val="20"/>
              </w:rPr>
              <w:lastRenderedPageBreak/>
              <w:t>Steady</w:t>
            </w:r>
          </w:p>
        </w:tc>
      </w:tr>
      <w:tr w:rsidR="0017408D" w:rsidRPr="00F66E4D" w:rsidTr="000C55C5">
        <w:tc>
          <w:tcPr>
            <w:tcW w:w="1701" w:type="dxa"/>
          </w:tcPr>
          <w:p w:rsidR="0017408D" w:rsidRPr="00F66E4D" w:rsidRDefault="0017408D" w:rsidP="0017408D">
            <w:pPr>
              <w:spacing w:before="0" w:after="0"/>
              <w:rPr>
                <w:sz w:val="20"/>
                <w:szCs w:val="20"/>
              </w:rPr>
            </w:pPr>
            <w:r w:rsidRPr="00F66E4D">
              <w:rPr>
                <w:sz w:val="20"/>
                <w:szCs w:val="20"/>
              </w:rPr>
              <w:lastRenderedPageBreak/>
              <w:t xml:space="preserve">Dissolved Oxygen (DO) </w:t>
            </w:r>
          </w:p>
        </w:tc>
        <w:tc>
          <w:tcPr>
            <w:tcW w:w="6204" w:type="dxa"/>
          </w:tcPr>
          <w:p w:rsidR="0017408D" w:rsidRPr="00F66E4D" w:rsidRDefault="0017408D" w:rsidP="0017408D">
            <w:pPr>
              <w:spacing w:before="0" w:after="0"/>
              <w:rPr>
                <w:sz w:val="20"/>
                <w:szCs w:val="20"/>
              </w:rPr>
            </w:pPr>
            <w:r w:rsidRPr="006F40DC">
              <w:rPr>
                <w:b/>
                <w:sz w:val="20"/>
                <w:szCs w:val="20"/>
              </w:rPr>
              <w:t>Very good</w:t>
            </w:r>
            <w:r w:rsidRPr="00F66E4D">
              <w:rPr>
                <w:sz w:val="20"/>
                <w:szCs w:val="20"/>
              </w:rPr>
              <w:t xml:space="preserve"> - 0.4% of samples below guideline levels. Higher levels in areas of land clearance and soil erosion. Turbidity is also influenced by </w:t>
            </w:r>
            <w:proofErr w:type="spellStart"/>
            <w:r w:rsidRPr="00F66E4D">
              <w:rPr>
                <w:sz w:val="20"/>
                <w:szCs w:val="20"/>
              </w:rPr>
              <w:t>colouration</w:t>
            </w:r>
            <w:proofErr w:type="spellEnd"/>
            <w:r w:rsidRPr="00F66E4D">
              <w:rPr>
                <w:sz w:val="20"/>
                <w:szCs w:val="20"/>
              </w:rPr>
              <w:t xml:space="preserve"> </w:t>
            </w:r>
            <w:proofErr w:type="spellStart"/>
            <w:r w:rsidRPr="00F66E4D">
              <w:rPr>
                <w:sz w:val="20"/>
                <w:szCs w:val="20"/>
              </w:rPr>
              <w:t>eg</w:t>
            </w:r>
            <w:proofErr w:type="spellEnd"/>
            <w:r w:rsidRPr="00F66E4D">
              <w:rPr>
                <w:sz w:val="20"/>
                <w:szCs w:val="20"/>
              </w:rPr>
              <w:t xml:space="preserve"> </w:t>
            </w:r>
            <w:proofErr w:type="spellStart"/>
            <w:r w:rsidRPr="00F66E4D">
              <w:rPr>
                <w:sz w:val="20"/>
                <w:szCs w:val="20"/>
              </w:rPr>
              <w:t>colouration</w:t>
            </w:r>
            <w:proofErr w:type="spellEnd"/>
            <w:r w:rsidRPr="00F66E4D">
              <w:rPr>
                <w:sz w:val="20"/>
                <w:szCs w:val="20"/>
              </w:rPr>
              <w:t xml:space="preserve"> from tannin rich streams in </w:t>
            </w:r>
            <w:proofErr w:type="spellStart"/>
            <w:r w:rsidRPr="00F66E4D">
              <w:rPr>
                <w:sz w:val="20"/>
                <w:szCs w:val="20"/>
              </w:rPr>
              <w:t>Namadgi</w:t>
            </w:r>
            <w:proofErr w:type="spellEnd"/>
            <w:r w:rsidRPr="00F66E4D">
              <w:rPr>
                <w:sz w:val="20"/>
                <w:szCs w:val="20"/>
              </w:rPr>
              <w:t xml:space="preserve"> National Park. </w:t>
            </w:r>
          </w:p>
        </w:tc>
        <w:tc>
          <w:tcPr>
            <w:tcW w:w="1275" w:type="dxa"/>
          </w:tcPr>
          <w:p w:rsidR="0017408D" w:rsidRPr="00F66E4D" w:rsidRDefault="0017408D" w:rsidP="0017408D">
            <w:pPr>
              <w:spacing w:before="0" w:after="0"/>
              <w:rPr>
                <w:sz w:val="20"/>
                <w:szCs w:val="20"/>
              </w:rPr>
            </w:pPr>
            <w:r w:rsidRPr="00F66E4D">
              <w:rPr>
                <w:sz w:val="20"/>
                <w:szCs w:val="20"/>
              </w:rPr>
              <w:t>Steady</w:t>
            </w:r>
          </w:p>
        </w:tc>
      </w:tr>
      <w:tr w:rsidR="0017408D" w:rsidRPr="00F66E4D" w:rsidTr="000C55C5">
        <w:tc>
          <w:tcPr>
            <w:tcW w:w="1701" w:type="dxa"/>
          </w:tcPr>
          <w:p w:rsidR="0017408D" w:rsidRPr="00F66E4D" w:rsidRDefault="0017408D" w:rsidP="0017408D">
            <w:pPr>
              <w:spacing w:before="0" w:after="0"/>
              <w:rPr>
                <w:sz w:val="20"/>
                <w:szCs w:val="20"/>
              </w:rPr>
            </w:pPr>
            <w:r w:rsidRPr="00F66E4D">
              <w:rPr>
                <w:sz w:val="20"/>
                <w:szCs w:val="20"/>
              </w:rPr>
              <w:t>Turbidity</w:t>
            </w:r>
          </w:p>
        </w:tc>
        <w:tc>
          <w:tcPr>
            <w:tcW w:w="6204" w:type="dxa"/>
          </w:tcPr>
          <w:p w:rsidR="0017408D" w:rsidRPr="00F66E4D" w:rsidRDefault="0017408D" w:rsidP="0017408D">
            <w:pPr>
              <w:spacing w:before="0" w:after="0"/>
              <w:rPr>
                <w:sz w:val="20"/>
                <w:szCs w:val="20"/>
              </w:rPr>
            </w:pPr>
            <w:r w:rsidRPr="006F40DC">
              <w:rPr>
                <w:b/>
                <w:sz w:val="20"/>
                <w:szCs w:val="20"/>
              </w:rPr>
              <w:t>Poor</w:t>
            </w:r>
            <w:r w:rsidRPr="00F66E4D">
              <w:rPr>
                <w:sz w:val="20"/>
                <w:szCs w:val="20"/>
              </w:rPr>
              <w:t xml:space="preserve"> - 40% of samples exceeded the turbidity guideline</w:t>
            </w:r>
          </w:p>
        </w:tc>
        <w:tc>
          <w:tcPr>
            <w:tcW w:w="1275" w:type="dxa"/>
          </w:tcPr>
          <w:p w:rsidR="0017408D" w:rsidRPr="00F66E4D" w:rsidRDefault="0017408D" w:rsidP="0017408D">
            <w:pPr>
              <w:spacing w:before="0" w:after="0"/>
              <w:rPr>
                <w:sz w:val="20"/>
                <w:szCs w:val="20"/>
              </w:rPr>
            </w:pPr>
            <w:r w:rsidRPr="00F66E4D">
              <w:rPr>
                <w:sz w:val="20"/>
                <w:szCs w:val="20"/>
              </w:rPr>
              <w:t>Improved</w:t>
            </w:r>
          </w:p>
        </w:tc>
      </w:tr>
      <w:tr w:rsidR="0017408D" w:rsidRPr="00F66E4D" w:rsidTr="000C55C5">
        <w:tc>
          <w:tcPr>
            <w:tcW w:w="1701" w:type="dxa"/>
          </w:tcPr>
          <w:p w:rsidR="0017408D" w:rsidRPr="00F66E4D" w:rsidRDefault="0017408D" w:rsidP="006B7D4F">
            <w:pPr>
              <w:spacing w:before="0" w:after="0"/>
              <w:rPr>
                <w:sz w:val="20"/>
                <w:szCs w:val="20"/>
              </w:rPr>
            </w:pPr>
            <w:r w:rsidRPr="00F66E4D">
              <w:rPr>
                <w:sz w:val="20"/>
                <w:szCs w:val="20"/>
              </w:rPr>
              <w:t>Phosphorous</w:t>
            </w:r>
          </w:p>
        </w:tc>
        <w:tc>
          <w:tcPr>
            <w:tcW w:w="6204" w:type="dxa"/>
          </w:tcPr>
          <w:p w:rsidR="0017408D" w:rsidRPr="00F66E4D" w:rsidRDefault="0017408D" w:rsidP="006B7D4F">
            <w:pPr>
              <w:spacing w:before="0" w:after="0"/>
              <w:rPr>
                <w:sz w:val="20"/>
                <w:szCs w:val="20"/>
              </w:rPr>
            </w:pPr>
            <w:r w:rsidRPr="006F40DC">
              <w:rPr>
                <w:b/>
                <w:sz w:val="20"/>
                <w:szCs w:val="20"/>
              </w:rPr>
              <w:t>Very good</w:t>
            </w:r>
            <w:r w:rsidRPr="00F66E4D">
              <w:rPr>
                <w:sz w:val="20"/>
                <w:szCs w:val="20"/>
              </w:rPr>
              <w:t xml:space="preserve"> - Total phosphorus exceeded guideline levels in 6.4% of samples mostly in areas of increased erosion from land clearing. </w:t>
            </w:r>
          </w:p>
        </w:tc>
        <w:tc>
          <w:tcPr>
            <w:tcW w:w="1275" w:type="dxa"/>
          </w:tcPr>
          <w:p w:rsidR="0017408D" w:rsidRPr="00F66E4D" w:rsidRDefault="0017408D" w:rsidP="006B7D4F">
            <w:pPr>
              <w:spacing w:before="0" w:after="0"/>
              <w:rPr>
                <w:sz w:val="20"/>
                <w:szCs w:val="20"/>
              </w:rPr>
            </w:pPr>
            <w:r w:rsidRPr="00F66E4D">
              <w:rPr>
                <w:sz w:val="20"/>
                <w:szCs w:val="20"/>
              </w:rPr>
              <w:t xml:space="preserve">   Improved</w:t>
            </w:r>
          </w:p>
        </w:tc>
      </w:tr>
      <w:tr w:rsidR="0017408D" w:rsidRPr="00F66E4D" w:rsidTr="000C55C5">
        <w:trPr>
          <w:trHeight w:val="344"/>
        </w:trPr>
        <w:tc>
          <w:tcPr>
            <w:tcW w:w="1701" w:type="dxa"/>
          </w:tcPr>
          <w:p w:rsidR="0017408D" w:rsidRPr="00F66E4D" w:rsidRDefault="0017408D" w:rsidP="006B7D4F">
            <w:pPr>
              <w:spacing w:before="0" w:after="0"/>
              <w:rPr>
                <w:sz w:val="20"/>
                <w:szCs w:val="20"/>
              </w:rPr>
            </w:pPr>
            <w:r w:rsidRPr="00F66E4D">
              <w:rPr>
                <w:sz w:val="20"/>
                <w:szCs w:val="20"/>
              </w:rPr>
              <w:t>Nitrogen</w:t>
            </w:r>
          </w:p>
        </w:tc>
        <w:tc>
          <w:tcPr>
            <w:tcW w:w="6204" w:type="dxa"/>
          </w:tcPr>
          <w:p w:rsidR="0017408D" w:rsidRPr="00F66E4D" w:rsidRDefault="0017408D" w:rsidP="006B7D4F">
            <w:pPr>
              <w:spacing w:before="0" w:after="0"/>
              <w:rPr>
                <w:sz w:val="20"/>
                <w:szCs w:val="20"/>
              </w:rPr>
            </w:pPr>
            <w:r w:rsidRPr="006F40DC">
              <w:rPr>
                <w:b/>
                <w:sz w:val="20"/>
                <w:szCs w:val="20"/>
              </w:rPr>
              <w:t>Very poor</w:t>
            </w:r>
            <w:r w:rsidRPr="00F66E4D">
              <w:rPr>
                <w:sz w:val="20"/>
                <w:szCs w:val="20"/>
              </w:rPr>
              <w:t xml:space="preserve"> - 77% of samples exceeded the total nitrogen level guideline in areas where higher amounts of pollution </w:t>
            </w:r>
            <w:proofErr w:type="spellStart"/>
            <w:r w:rsidRPr="00F66E4D">
              <w:rPr>
                <w:sz w:val="20"/>
                <w:szCs w:val="20"/>
              </w:rPr>
              <w:t>eg</w:t>
            </w:r>
            <w:proofErr w:type="spellEnd"/>
            <w:r w:rsidRPr="00F66E4D">
              <w:rPr>
                <w:sz w:val="20"/>
                <w:szCs w:val="20"/>
              </w:rPr>
              <w:t xml:space="preserve"> </w:t>
            </w:r>
            <w:proofErr w:type="spellStart"/>
            <w:r w:rsidRPr="00F66E4D">
              <w:rPr>
                <w:sz w:val="20"/>
                <w:szCs w:val="20"/>
              </w:rPr>
              <w:t>fertiliser</w:t>
            </w:r>
            <w:proofErr w:type="spellEnd"/>
            <w:r w:rsidRPr="00F66E4D">
              <w:rPr>
                <w:sz w:val="20"/>
                <w:szCs w:val="20"/>
              </w:rPr>
              <w:t xml:space="preserve"> enter waterways. The high levels of nitrogen recorded are also affected by anomalies with the current guidelines. </w:t>
            </w:r>
          </w:p>
        </w:tc>
        <w:tc>
          <w:tcPr>
            <w:tcW w:w="1275" w:type="dxa"/>
          </w:tcPr>
          <w:p w:rsidR="0017408D" w:rsidRPr="00F66E4D" w:rsidRDefault="0017408D" w:rsidP="006B7D4F">
            <w:pPr>
              <w:spacing w:before="0" w:after="0"/>
              <w:rPr>
                <w:sz w:val="20"/>
                <w:szCs w:val="20"/>
              </w:rPr>
            </w:pPr>
            <w:r w:rsidRPr="00F66E4D">
              <w:rPr>
                <w:sz w:val="20"/>
                <w:szCs w:val="20"/>
              </w:rPr>
              <w:t>Improved</w:t>
            </w:r>
          </w:p>
        </w:tc>
      </w:tr>
      <w:tr w:rsidR="0017408D" w:rsidRPr="00F66E4D" w:rsidTr="000C55C5">
        <w:tc>
          <w:tcPr>
            <w:tcW w:w="1701" w:type="dxa"/>
          </w:tcPr>
          <w:p w:rsidR="0017408D" w:rsidRPr="00F66E4D" w:rsidRDefault="0017408D" w:rsidP="006B7D4F">
            <w:pPr>
              <w:spacing w:before="0" w:after="0"/>
              <w:rPr>
                <w:sz w:val="20"/>
                <w:szCs w:val="20"/>
              </w:rPr>
            </w:pPr>
            <w:r w:rsidRPr="00F66E4D">
              <w:rPr>
                <w:sz w:val="20"/>
                <w:szCs w:val="20"/>
              </w:rPr>
              <w:t>Suspended solids</w:t>
            </w:r>
          </w:p>
        </w:tc>
        <w:tc>
          <w:tcPr>
            <w:tcW w:w="6204" w:type="dxa"/>
          </w:tcPr>
          <w:p w:rsidR="0017408D" w:rsidRPr="00F66E4D" w:rsidRDefault="0017408D" w:rsidP="006B7D4F">
            <w:pPr>
              <w:spacing w:before="0" w:after="0"/>
              <w:rPr>
                <w:sz w:val="20"/>
                <w:szCs w:val="20"/>
              </w:rPr>
            </w:pPr>
            <w:r w:rsidRPr="006F40DC">
              <w:rPr>
                <w:b/>
                <w:sz w:val="20"/>
                <w:szCs w:val="20"/>
              </w:rPr>
              <w:t>Good</w:t>
            </w:r>
            <w:r w:rsidRPr="00F66E4D">
              <w:rPr>
                <w:sz w:val="20"/>
                <w:szCs w:val="20"/>
              </w:rPr>
              <w:t xml:space="preserve"> - Exceeded guideline levels in approximately 11% of samples primarily in areas of land clearing and soil erosion. </w:t>
            </w:r>
          </w:p>
        </w:tc>
        <w:tc>
          <w:tcPr>
            <w:tcW w:w="1275" w:type="dxa"/>
          </w:tcPr>
          <w:p w:rsidR="0017408D" w:rsidRPr="00F66E4D" w:rsidRDefault="0017408D" w:rsidP="006B7D4F">
            <w:pPr>
              <w:spacing w:before="0" w:after="0"/>
              <w:rPr>
                <w:sz w:val="20"/>
                <w:szCs w:val="20"/>
              </w:rPr>
            </w:pPr>
            <w:r w:rsidRPr="00F66E4D">
              <w:rPr>
                <w:sz w:val="20"/>
                <w:szCs w:val="20"/>
              </w:rPr>
              <w:t>Improved</w:t>
            </w:r>
          </w:p>
        </w:tc>
      </w:tr>
      <w:tr w:rsidR="0017408D" w:rsidRPr="00F66E4D" w:rsidTr="000C55C5">
        <w:tc>
          <w:tcPr>
            <w:tcW w:w="1701" w:type="dxa"/>
          </w:tcPr>
          <w:p w:rsidR="0017408D" w:rsidRPr="00F66E4D" w:rsidRDefault="0017408D" w:rsidP="006B7D4F">
            <w:pPr>
              <w:spacing w:before="0" w:after="0"/>
              <w:rPr>
                <w:sz w:val="20"/>
                <w:szCs w:val="20"/>
              </w:rPr>
            </w:pPr>
            <w:proofErr w:type="spellStart"/>
            <w:r w:rsidRPr="00F66E4D">
              <w:rPr>
                <w:sz w:val="20"/>
                <w:szCs w:val="20"/>
              </w:rPr>
              <w:t>Faecal</w:t>
            </w:r>
            <w:proofErr w:type="spellEnd"/>
            <w:r w:rsidRPr="00F66E4D">
              <w:rPr>
                <w:sz w:val="20"/>
                <w:szCs w:val="20"/>
              </w:rPr>
              <w:t xml:space="preserve"> </w:t>
            </w:r>
            <w:proofErr w:type="spellStart"/>
            <w:r w:rsidRPr="00F66E4D">
              <w:rPr>
                <w:sz w:val="20"/>
                <w:szCs w:val="20"/>
              </w:rPr>
              <w:t>coliform</w:t>
            </w:r>
            <w:proofErr w:type="spellEnd"/>
          </w:p>
        </w:tc>
        <w:tc>
          <w:tcPr>
            <w:tcW w:w="6204" w:type="dxa"/>
          </w:tcPr>
          <w:p w:rsidR="0017408D" w:rsidRPr="00F66E4D" w:rsidRDefault="0017408D" w:rsidP="006B7D4F">
            <w:pPr>
              <w:spacing w:before="0" w:after="0"/>
              <w:rPr>
                <w:sz w:val="20"/>
                <w:szCs w:val="20"/>
              </w:rPr>
            </w:pPr>
            <w:r w:rsidRPr="006F40DC">
              <w:rPr>
                <w:b/>
                <w:sz w:val="20"/>
                <w:szCs w:val="20"/>
              </w:rPr>
              <w:t>Good</w:t>
            </w:r>
            <w:r w:rsidRPr="00F66E4D">
              <w:rPr>
                <w:sz w:val="20"/>
                <w:szCs w:val="20"/>
              </w:rPr>
              <w:t xml:space="preserve"> - Higher than guideline levels found in approximately 20% of samples. Samples were only taken in areas of concern </w:t>
            </w:r>
            <w:proofErr w:type="spellStart"/>
            <w:r w:rsidRPr="00F66E4D">
              <w:rPr>
                <w:sz w:val="20"/>
                <w:szCs w:val="20"/>
              </w:rPr>
              <w:t>eg</w:t>
            </w:r>
            <w:proofErr w:type="spellEnd"/>
            <w:r w:rsidRPr="00F66E4D">
              <w:rPr>
                <w:sz w:val="20"/>
                <w:szCs w:val="20"/>
              </w:rPr>
              <w:t xml:space="preserve"> urban. Results likely to be due to urban run-off and animal access. </w:t>
            </w:r>
          </w:p>
        </w:tc>
        <w:tc>
          <w:tcPr>
            <w:tcW w:w="1275" w:type="dxa"/>
          </w:tcPr>
          <w:p w:rsidR="0017408D" w:rsidRPr="00F66E4D" w:rsidRDefault="0017408D" w:rsidP="006B7D4F">
            <w:pPr>
              <w:spacing w:before="0" w:after="0"/>
              <w:rPr>
                <w:sz w:val="20"/>
                <w:szCs w:val="20"/>
              </w:rPr>
            </w:pPr>
            <w:r w:rsidRPr="00F66E4D">
              <w:rPr>
                <w:sz w:val="20"/>
                <w:szCs w:val="20"/>
              </w:rPr>
              <w:t>Improved</w:t>
            </w:r>
          </w:p>
        </w:tc>
      </w:tr>
      <w:tr w:rsidR="0017408D" w:rsidRPr="00F66E4D" w:rsidTr="000C55C5">
        <w:tc>
          <w:tcPr>
            <w:tcW w:w="1701" w:type="dxa"/>
          </w:tcPr>
          <w:p w:rsidR="0017408D" w:rsidRPr="00F66E4D" w:rsidRDefault="0017408D" w:rsidP="006B7D4F">
            <w:pPr>
              <w:spacing w:before="0" w:after="0"/>
              <w:rPr>
                <w:sz w:val="20"/>
                <w:szCs w:val="20"/>
              </w:rPr>
            </w:pPr>
            <w:r w:rsidRPr="00F66E4D">
              <w:rPr>
                <w:sz w:val="20"/>
                <w:szCs w:val="20"/>
              </w:rPr>
              <w:t>Chlorophyll-a</w:t>
            </w:r>
          </w:p>
        </w:tc>
        <w:tc>
          <w:tcPr>
            <w:tcW w:w="6204" w:type="dxa"/>
          </w:tcPr>
          <w:p w:rsidR="0017408D" w:rsidRPr="00F66E4D" w:rsidRDefault="0017408D" w:rsidP="006B7D4F">
            <w:pPr>
              <w:spacing w:before="0" w:after="0"/>
              <w:rPr>
                <w:sz w:val="20"/>
                <w:szCs w:val="20"/>
              </w:rPr>
            </w:pPr>
            <w:r w:rsidRPr="006F40DC">
              <w:rPr>
                <w:b/>
                <w:sz w:val="20"/>
                <w:szCs w:val="20"/>
              </w:rPr>
              <w:t>Poor</w:t>
            </w:r>
            <w:r w:rsidRPr="00F66E4D">
              <w:rPr>
                <w:sz w:val="20"/>
                <w:szCs w:val="20"/>
              </w:rPr>
              <w:t xml:space="preserve"> - Levels higher than guideline levels were found in around 31% of samples. Probably due to high nutrient levels from urban run-off. Samples also affected by normal seasonal fluctuations in platonic biomass – these are independent of flow rates or exceptional nutrient loads.</w:t>
            </w:r>
          </w:p>
        </w:tc>
        <w:tc>
          <w:tcPr>
            <w:tcW w:w="1275" w:type="dxa"/>
          </w:tcPr>
          <w:p w:rsidR="0017408D" w:rsidRPr="00F66E4D" w:rsidRDefault="0017408D" w:rsidP="006B7D4F">
            <w:pPr>
              <w:spacing w:before="0" w:after="0"/>
              <w:rPr>
                <w:sz w:val="20"/>
                <w:szCs w:val="20"/>
              </w:rPr>
            </w:pPr>
            <w:r w:rsidRPr="00F66E4D">
              <w:rPr>
                <w:sz w:val="20"/>
                <w:szCs w:val="20"/>
              </w:rPr>
              <w:t>Improved</w:t>
            </w:r>
          </w:p>
        </w:tc>
      </w:tr>
    </w:tbl>
    <w:p w:rsidR="00E2717C" w:rsidRPr="00A8595C" w:rsidRDefault="00E2717C" w:rsidP="00A8595C">
      <w:pPr>
        <w:pStyle w:val="Heading4"/>
        <w:pBdr>
          <w:bottom w:val="single" w:sz="4" w:space="2" w:color="FBCB9A" w:themeColor="accent1" w:themeTint="66"/>
        </w:pBdr>
        <w:rPr>
          <w:color w:val="F07F09" w:themeColor="accent1"/>
        </w:rPr>
      </w:pPr>
      <w:r w:rsidRPr="00A8595C">
        <w:rPr>
          <w:color w:val="F07F09" w:themeColor="accent1"/>
        </w:rPr>
        <w:t>Ground water quality and availability</w:t>
      </w:r>
    </w:p>
    <w:p w:rsidR="00E2717C" w:rsidRDefault="00E2717C" w:rsidP="00E2717C">
      <w:pPr>
        <w:pStyle w:val="bodytext"/>
      </w:pPr>
      <w:r w:rsidRPr="008B1565">
        <w:t xml:space="preserve">From the information available and data collected in previous assessment periods, it is likely that groundwater availability and quality are good in the ACT, with negative trends unlikely. </w:t>
      </w:r>
      <w:r>
        <w:t>However i</w:t>
      </w:r>
      <w:r w:rsidRPr="00B66F8B">
        <w:t xml:space="preserve">t is likely that groundwater is being extracted at far below the rate that recharge is replenishing aquifers. For example, groundwater extraction in the ACT was approximately 0.5 </w:t>
      </w:r>
      <w:proofErr w:type="spellStart"/>
      <w:r w:rsidRPr="00B66F8B">
        <w:t>gigalitres</w:t>
      </w:r>
      <w:proofErr w:type="spellEnd"/>
      <w:r w:rsidRPr="00B66F8B">
        <w:t xml:space="preserve"> per year in 2004–05, which represents a very low level of stress on aquifers in the ACT. It is estimated that the extraction rate is no greater than 10% of the long-term recharge</w:t>
      </w:r>
      <w:r>
        <w:t>.</w:t>
      </w:r>
    </w:p>
    <w:p w:rsidR="00E2717C" w:rsidRPr="00A8595C" w:rsidRDefault="00E2717C" w:rsidP="00A8595C">
      <w:pPr>
        <w:pStyle w:val="Heading4"/>
        <w:pBdr>
          <w:bottom w:val="single" w:sz="4" w:space="2" w:color="FBCB9A" w:themeColor="accent1" w:themeTint="66"/>
        </w:pBdr>
        <w:rPr>
          <w:color w:val="F07F09" w:themeColor="accent1"/>
        </w:rPr>
      </w:pPr>
      <w:r w:rsidRPr="00A8595C">
        <w:rPr>
          <w:color w:val="F07F09" w:themeColor="accent1"/>
        </w:rPr>
        <w:t>Drinking water quality</w:t>
      </w:r>
    </w:p>
    <w:p w:rsidR="00E2717C" w:rsidRDefault="00F4299E" w:rsidP="00E2717C">
      <w:pPr>
        <w:pStyle w:val="bodytext"/>
      </w:pPr>
      <w:r w:rsidRPr="00F4299E">
        <w:pict>
          <v:shape id="_x0000_s1034" type="#_x0000_t202" style="position:absolute;margin-left:284.65pt;margin-top:28.7pt;width:178.6pt;height:198.75pt;z-index:-251656192;mso-width-relative:margin;mso-height-relative:margin" wrapcoords="-91 0 -91 21518 21600 21518 21600 0 -91 0" stroked="f">
            <v:textbox style="mso-next-textbox:#_x0000_s1034">
              <w:txbxContent>
                <w:p w:rsidR="00E2717C" w:rsidRDefault="0091243F" w:rsidP="00A9430B">
                  <w:r>
                    <w:rPr>
                      <w:noProof/>
                      <w:lang w:val="en-AU" w:eastAsia="en-AU" w:bidi="ar-SA"/>
                    </w:rPr>
                    <w:drawing>
                      <wp:inline distT="0" distB="0" distL="0" distR="0">
                        <wp:extent cx="2104355" cy="1578634"/>
                        <wp:effectExtent l="19050" t="0" r="0" b="0"/>
                        <wp:docPr id="2" name="Picture 1" descr="Condor creek turbidity logger (A1173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r creek turbidity logger (A11730730).jpg"/>
                                <pic:cNvPicPr/>
                              </pic:nvPicPr>
                              <pic:blipFill>
                                <a:blip r:embed="rId9" cstate="email"/>
                                <a:stretch>
                                  <a:fillRect/>
                                </a:stretch>
                              </pic:blipFill>
                              <pic:spPr>
                                <a:xfrm>
                                  <a:off x="0" y="0"/>
                                  <a:ext cx="2104928" cy="1579064"/>
                                </a:xfrm>
                                <a:prstGeom prst="rect">
                                  <a:avLst/>
                                </a:prstGeom>
                              </pic:spPr>
                            </pic:pic>
                          </a:graphicData>
                        </a:graphic>
                      </wp:inline>
                    </w:drawing>
                  </w:r>
                </w:p>
                <w:p w:rsidR="00E2717C" w:rsidRPr="0091243F" w:rsidRDefault="00E2717C" w:rsidP="00A9430B">
                  <w:pPr>
                    <w:rPr>
                      <w:b/>
                      <w:sz w:val="18"/>
                    </w:rPr>
                  </w:pPr>
                  <w:r w:rsidRPr="0091243F">
                    <w:rPr>
                      <w:b/>
                      <w:sz w:val="18"/>
                    </w:rPr>
                    <w:t>Underwater photo of a turbidity logger in Condor Creek</w:t>
                  </w:r>
                </w:p>
                <w:p w:rsidR="00E2717C" w:rsidRPr="0091243F" w:rsidRDefault="00E2717C" w:rsidP="00A9430B">
                  <w:pPr>
                    <w:rPr>
                      <w:b/>
                      <w:sz w:val="18"/>
                    </w:rPr>
                  </w:pPr>
                  <w:r w:rsidRPr="0091243F">
                    <w:rPr>
                      <w:b/>
                      <w:sz w:val="18"/>
                    </w:rPr>
                    <w:t>Photo: University of Canberra</w:t>
                  </w:r>
                </w:p>
                <w:p w:rsidR="00E2717C" w:rsidRDefault="00E2717C" w:rsidP="00A9430B"/>
                <w:p w:rsidR="00E2717C" w:rsidRDefault="00E2717C" w:rsidP="00A9430B"/>
                <w:p w:rsidR="00E2717C" w:rsidRDefault="00E2717C" w:rsidP="00A9430B"/>
                <w:p w:rsidR="00E2717C" w:rsidRDefault="00E2717C" w:rsidP="00A9430B"/>
                <w:p w:rsidR="00E2717C" w:rsidRDefault="00E2717C" w:rsidP="00A9430B"/>
                <w:p w:rsidR="00E2717C" w:rsidRDefault="00E2717C" w:rsidP="00A9430B"/>
                <w:p w:rsidR="00E2717C" w:rsidRDefault="00E2717C" w:rsidP="00A9430B"/>
                <w:p w:rsidR="00E2717C" w:rsidRDefault="00E2717C" w:rsidP="00A9430B"/>
              </w:txbxContent>
            </v:textbox>
            <w10:wrap type="tight"/>
          </v:shape>
        </w:pict>
      </w:r>
      <w:r w:rsidR="00E2717C" w:rsidRPr="008B1565">
        <w:t xml:space="preserve">Drinking water in the ACT is of very high quality and is consistently within standards in the </w:t>
      </w:r>
      <w:r w:rsidR="00E2717C" w:rsidRPr="00FB4D57">
        <w:rPr>
          <w:i/>
        </w:rPr>
        <w:t>Australian Drinking Water Guidelines</w:t>
      </w:r>
      <w:r w:rsidR="00E2717C" w:rsidRPr="008B1565">
        <w:t xml:space="preserve">. In 2011–2015, drinking water quality, on average, met the standards in the Australian Drinking Water Guidelines. On a small number of occasions, pH, chlorine and turbidity slightly exceeded </w:t>
      </w:r>
      <w:r w:rsidR="00E2717C" w:rsidRPr="008B1565">
        <w:rPr>
          <w:i/>
        </w:rPr>
        <w:t>Australian Drinking Water Guidelines</w:t>
      </w:r>
      <w:r w:rsidR="00E2717C" w:rsidRPr="008B1565">
        <w:t xml:space="preserve"> </w:t>
      </w:r>
      <w:r w:rsidR="00E2717C">
        <w:t xml:space="preserve">standards. </w:t>
      </w:r>
      <w:r w:rsidR="00E2717C" w:rsidRPr="008B1565">
        <w:t>The results for 2011–2015 are similar to those for 2007–2011</w:t>
      </w:r>
      <w:r w:rsidR="00E2717C">
        <w:t>.</w:t>
      </w:r>
    </w:p>
    <w:p w:rsidR="00E2717C" w:rsidRPr="00A8595C" w:rsidRDefault="00E2717C" w:rsidP="00A8595C">
      <w:pPr>
        <w:pStyle w:val="Heading4"/>
        <w:pBdr>
          <w:bottom w:val="single" w:sz="4" w:space="2" w:color="FBCB9A" w:themeColor="accent1" w:themeTint="66"/>
        </w:pBdr>
        <w:rPr>
          <w:color w:val="F07F09" w:themeColor="accent1"/>
        </w:rPr>
      </w:pPr>
      <w:r w:rsidRPr="00A8595C">
        <w:rPr>
          <w:color w:val="F07F09" w:themeColor="accent1"/>
        </w:rPr>
        <w:t>River Flow</w:t>
      </w:r>
    </w:p>
    <w:p w:rsidR="003B431C" w:rsidRDefault="00E2717C" w:rsidP="00A8595C">
      <w:pPr>
        <w:pStyle w:val="bodytext"/>
      </w:pPr>
      <w:r w:rsidRPr="00CF01BD">
        <w:t>The quantity of water flowing into and out of the ACT is a major determinant of waterway ecological condition. The natural flows in ACT streams are highly variable</w:t>
      </w:r>
      <w:r>
        <w:t xml:space="preserve"> and </w:t>
      </w:r>
      <w:r w:rsidRPr="00CF01BD">
        <w:t xml:space="preserve">mainly altered by water resource development, such as the building of dams and weirs, and diversion or extraction of in-stream flows. Similar amounts of water enter and leave the ACT, primarily because of contributions from the Cotter River </w:t>
      </w:r>
      <w:r w:rsidRPr="00CF01BD">
        <w:lastRenderedPageBreak/>
        <w:t>Catchment and urban run-off</w:t>
      </w:r>
      <w:r>
        <w:t>.</w:t>
      </w:r>
    </w:p>
    <w:p w:rsidR="00E2717C" w:rsidRPr="00A8595C" w:rsidRDefault="00E2717C" w:rsidP="00A8595C">
      <w:pPr>
        <w:pStyle w:val="Heading4"/>
        <w:pBdr>
          <w:bottom w:val="single" w:sz="4" w:space="2" w:color="FBCB9A" w:themeColor="accent1" w:themeTint="66"/>
        </w:pBdr>
        <w:rPr>
          <w:color w:val="F07F09" w:themeColor="accent1"/>
        </w:rPr>
      </w:pPr>
      <w:r w:rsidRPr="00A8595C">
        <w:rPr>
          <w:color w:val="F07F09" w:themeColor="accent1"/>
        </w:rPr>
        <w:t>River condition</w:t>
      </w:r>
    </w:p>
    <w:p w:rsidR="00B66F8B" w:rsidRDefault="00B66F8B" w:rsidP="007C2ECE">
      <w:pPr>
        <w:pStyle w:val="bodytext"/>
      </w:pPr>
      <w:r w:rsidRPr="00B66F8B">
        <w:t xml:space="preserve">Water leaving the ACT via the Murrumbidgee River should be of the same quality as, or better than, water entering the ACT. In 2011–2015, chlorophyll-a, </w:t>
      </w:r>
      <w:proofErr w:type="spellStart"/>
      <w:r w:rsidRPr="00B66F8B">
        <w:t>faecal</w:t>
      </w:r>
      <w:proofErr w:type="spellEnd"/>
      <w:r w:rsidRPr="00B66F8B">
        <w:t xml:space="preserve"> </w:t>
      </w:r>
      <w:proofErr w:type="spellStart"/>
      <w:r w:rsidRPr="00B66F8B">
        <w:t>coliforms</w:t>
      </w:r>
      <w:proofErr w:type="spellEnd"/>
      <w:r w:rsidRPr="00B66F8B">
        <w:t>, conductivity, turbidity and total nitrogen all exceeded water quality guideline levels more often downstream of the ACT at Halls Crossing then they did upstream of the ACT at Angle Crossing. This is an increase of al</w:t>
      </w:r>
      <w:r>
        <w:t>l measurements since 2007–2011.</w:t>
      </w:r>
    </w:p>
    <w:p w:rsidR="003830F7" w:rsidRPr="00CF01BD" w:rsidRDefault="00CF01BD" w:rsidP="003830F7">
      <w:pPr>
        <w:pStyle w:val="bodytext"/>
      </w:pPr>
      <w:r w:rsidRPr="00CF01BD">
        <w:t>The Australian River Assessment System (AUSRIVAS) uses aquatic macroinvertebrates to provide information about river health using nationally standardised methods and analysis protocols. Overall, the ecological condition (</w:t>
      </w:r>
      <w:proofErr w:type="spellStart"/>
      <w:r w:rsidRPr="00CF01BD">
        <w:t>macroinvertebate</w:t>
      </w:r>
      <w:proofErr w:type="spellEnd"/>
      <w:r w:rsidRPr="00CF01BD">
        <w:t xml:space="preserve"> O</w:t>
      </w:r>
      <w:proofErr w:type="gramStart"/>
      <w:r w:rsidRPr="00CF01BD">
        <w:t>:E</w:t>
      </w:r>
      <w:proofErr w:type="gramEnd"/>
      <w:r w:rsidRPr="00CF01BD">
        <w:t xml:space="preserve"> scores) in the ACT is in a poor state.</w:t>
      </w:r>
      <w:r w:rsidR="003830F7">
        <w:t xml:space="preserve"> This finding however must take into account the fact that most sampling occurs in areas heavily affected by land use and water resource development pressures </w:t>
      </w:r>
      <w:r w:rsidR="007E268C">
        <w:t>(</w:t>
      </w:r>
      <w:r w:rsidR="003830F7">
        <w:t>e</w:t>
      </w:r>
      <w:r w:rsidR="007E268C">
        <w:t>.g.</w:t>
      </w:r>
      <w:r w:rsidR="003830F7">
        <w:t xml:space="preserve"> dams</w:t>
      </w:r>
      <w:r w:rsidR="007E268C">
        <w:t>)</w:t>
      </w:r>
      <w:r w:rsidR="003830F7">
        <w:t xml:space="preserve">. </w:t>
      </w:r>
    </w:p>
    <w:p w:rsidR="0040696A" w:rsidRPr="00A8595C" w:rsidRDefault="00B66F8B" w:rsidP="003C6D7E">
      <w:pPr>
        <w:pStyle w:val="Heading2"/>
        <w:rPr>
          <w:color w:val="F07F09" w:themeColor="accent1"/>
        </w:rPr>
      </w:pPr>
      <w:r w:rsidRPr="00A8595C">
        <w:rPr>
          <w:color w:val="F07F09" w:themeColor="accent1"/>
        </w:rPr>
        <w:t xml:space="preserve"> </w:t>
      </w:r>
      <w:r w:rsidR="0040696A" w:rsidRPr="00A8595C">
        <w:rPr>
          <w:color w:val="F07F09" w:themeColor="accent1"/>
        </w:rPr>
        <w:t xml:space="preserve">Pressures </w:t>
      </w:r>
    </w:p>
    <w:p w:rsidR="004A355B" w:rsidRDefault="003B431C">
      <w:pPr>
        <w:pStyle w:val="bodytext"/>
      </w:pPr>
      <w:r>
        <w:t xml:space="preserve">To </w:t>
      </w:r>
      <w:r w:rsidR="00EB01C8">
        <w:t>assess</w:t>
      </w:r>
      <w:r>
        <w:t xml:space="preserve"> how </w:t>
      </w:r>
      <w:r w:rsidR="003316FD" w:rsidRPr="003316FD">
        <w:t>human activities put pressure on ACT water resources</w:t>
      </w:r>
      <w:r w:rsidRPr="003B431C">
        <w:t xml:space="preserve"> </w:t>
      </w:r>
      <w:r>
        <w:t>were</w:t>
      </w:r>
      <w:r w:rsidRPr="009D0658">
        <w:t xml:space="preserve"> </w:t>
      </w:r>
      <w:r w:rsidR="00EB01C8">
        <w:t>considere</w:t>
      </w:r>
      <w:r w:rsidRPr="009D0658">
        <w:t>d</w:t>
      </w:r>
      <w:r w:rsidR="00EB01C8">
        <w:t>:</w:t>
      </w:r>
    </w:p>
    <w:p w:rsidR="004A355B" w:rsidRDefault="003316FD">
      <w:pPr>
        <w:pStyle w:val="Heading3"/>
      </w:pPr>
      <w:r w:rsidRPr="009D0658">
        <w:t xml:space="preserve"> </w:t>
      </w:r>
      <w:r w:rsidR="00E2717C">
        <w:t>L</w:t>
      </w:r>
      <w:r w:rsidR="00E2717C" w:rsidRPr="009D0658">
        <w:t xml:space="preserve">and use and management </w:t>
      </w:r>
    </w:p>
    <w:p w:rsidR="00FB4D57" w:rsidRDefault="009D0658" w:rsidP="007C2ECE">
      <w:pPr>
        <w:pStyle w:val="bodytext"/>
      </w:pPr>
      <w:r w:rsidRPr="009D0658">
        <w:t xml:space="preserve"> </w:t>
      </w:r>
      <w:r>
        <w:t>Surface water quality indicators i</w:t>
      </w:r>
      <w:r w:rsidRPr="009D0658">
        <w:t>n the ACT, related to land use, such as total nitro</w:t>
      </w:r>
      <w:r>
        <w:t>gen, turbidity and chlorophyll</w:t>
      </w:r>
      <w:r w:rsidRPr="009D0658">
        <w:t>, are all in a poor state or worse, with a high percentage of samples exceeding water guideline levels. While it is difficult to link the poor state of these indicators with specific areas or events, it is likely that these conditions are, in part, cau</w:t>
      </w:r>
      <w:r w:rsidR="00EB01C8">
        <w:t>sed by land-use pressures, i</w:t>
      </w:r>
      <w:r w:rsidRPr="009D0658">
        <w:t>n particular, run-off carrying sediments and pollutants (</w:t>
      </w:r>
      <w:r w:rsidR="007E268C" w:rsidRPr="009D0658">
        <w:t>e.g.</w:t>
      </w:r>
      <w:r w:rsidRPr="009D0658">
        <w:t xml:space="preserve"> </w:t>
      </w:r>
      <w:proofErr w:type="spellStart"/>
      <w:r w:rsidRPr="009D0658">
        <w:t>fertilisers</w:t>
      </w:r>
      <w:proofErr w:type="spellEnd"/>
      <w:r w:rsidRPr="009D0658">
        <w:t>) from urban and agricultural areas</w:t>
      </w:r>
      <w:r w:rsidR="00FB4D57">
        <w:t>.</w:t>
      </w:r>
      <w:r w:rsidRPr="009D0658">
        <w:t xml:space="preserve"> </w:t>
      </w:r>
    </w:p>
    <w:p w:rsidR="009D0658" w:rsidRPr="009D0658" w:rsidRDefault="009D0658" w:rsidP="007C2ECE">
      <w:pPr>
        <w:pStyle w:val="bodytext"/>
      </w:pPr>
      <w:r>
        <w:t>L</w:t>
      </w:r>
      <w:r w:rsidRPr="009D0658">
        <w:t>and-use pressures on</w:t>
      </w:r>
      <w:r w:rsidR="003B3CB0">
        <w:t xml:space="preserve"> groundwater quality were </w:t>
      </w:r>
      <w:r>
        <w:t>assessed as</w:t>
      </w:r>
      <w:r w:rsidRPr="009D0658">
        <w:t xml:space="preserve"> low</w:t>
      </w:r>
      <w:r>
        <w:t xml:space="preserve"> during the reporting period</w:t>
      </w:r>
      <w:r w:rsidRPr="009D0658">
        <w:t>, but this may change if pollution of surface water sources persists and intensifies.</w:t>
      </w:r>
    </w:p>
    <w:p w:rsidR="00FB4D57" w:rsidRDefault="009D0658" w:rsidP="007C2ECE">
      <w:pPr>
        <w:pStyle w:val="bodytext"/>
      </w:pPr>
      <w:r>
        <w:t>Pressures</w:t>
      </w:r>
      <w:r w:rsidRPr="009D0658">
        <w:t xml:space="preserve"> placed on </w:t>
      </w:r>
      <w:r>
        <w:t>ACT</w:t>
      </w:r>
      <w:r w:rsidRPr="009D0658">
        <w:t xml:space="preserve"> drinking water quality by land use </w:t>
      </w:r>
      <w:r w:rsidR="006F40DC">
        <w:t>are</w:t>
      </w:r>
      <w:r w:rsidRPr="009D0658">
        <w:t xml:space="preserve"> minimal, because the majority of water catchments are in protected conservation areas. </w:t>
      </w:r>
    </w:p>
    <w:p w:rsidR="0040696A" w:rsidRDefault="009A50AA" w:rsidP="007C2ECE">
      <w:pPr>
        <w:pStyle w:val="bodytext"/>
      </w:pPr>
      <w:r w:rsidRPr="00366C51">
        <w:t xml:space="preserve">In the ACT, the poor overall state of </w:t>
      </w:r>
      <w:proofErr w:type="spellStart"/>
      <w:r w:rsidRPr="00366C51">
        <w:t>macroinvertebrate</w:t>
      </w:r>
      <w:proofErr w:type="spellEnd"/>
      <w:r w:rsidRPr="00366C51">
        <w:t xml:space="preserve"> communities in 2011–2015 suggests that there are substantial land-use pressures affecting ecological condition. However, it is important to note that the </w:t>
      </w:r>
      <w:proofErr w:type="spellStart"/>
      <w:r w:rsidRPr="00366C51">
        <w:t>macroinvertebrate</w:t>
      </w:r>
      <w:proofErr w:type="spellEnd"/>
      <w:r w:rsidRPr="00366C51">
        <w:t xml:space="preserve"> indicators showed some small improvements relative to 2007–2011.</w:t>
      </w:r>
    </w:p>
    <w:p w:rsidR="00E2717C" w:rsidRDefault="00E2717C" w:rsidP="00661D4E">
      <w:pPr>
        <w:pStyle w:val="Heading3"/>
      </w:pPr>
      <w:r>
        <w:t>C</w:t>
      </w:r>
      <w:r w:rsidRPr="009D0658">
        <w:t>limate variability and change</w:t>
      </w:r>
    </w:p>
    <w:p w:rsidR="00053BB0" w:rsidRPr="00366C51" w:rsidRDefault="00053BB0" w:rsidP="007C2ECE">
      <w:pPr>
        <w:pStyle w:val="bodytext"/>
      </w:pPr>
      <w:r w:rsidRPr="00366C51">
        <w:t>Climate variability and change influence the amount of water flowing into ACT rivers (river discharge)</w:t>
      </w:r>
      <w:r w:rsidRPr="00053BB0">
        <w:t>, and in turn, the amount of water that recharges groundwater aquifers,</w:t>
      </w:r>
      <w:r w:rsidRPr="00366C51">
        <w:t xml:space="preserve"> through fluctuations in rainfall and temperature.</w:t>
      </w:r>
      <w:r w:rsidRPr="00053BB0">
        <w:t xml:space="preserve"> </w:t>
      </w:r>
    </w:p>
    <w:p w:rsidR="007E668A" w:rsidRDefault="00053BB0" w:rsidP="007C2ECE">
      <w:pPr>
        <w:pStyle w:val="bodytext"/>
      </w:pPr>
      <w:r w:rsidRPr="00053BB0">
        <w:t xml:space="preserve">During 2011–2015, climate variability and change pressures on river discharge in the ACT were minimal. Based on available data, river discharge was in a very good state. </w:t>
      </w:r>
    </w:p>
    <w:p w:rsidR="007E668A" w:rsidRDefault="00053BB0" w:rsidP="007C2ECE">
      <w:pPr>
        <w:pStyle w:val="bodytext"/>
      </w:pPr>
      <w:r w:rsidRPr="007C2ECE">
        <w:t xml:space="preserve">Currently, there appears to have been little pressure on groundwater availability from climate variability and change in the ACT. However, as with river discharge, this could change if rainfall declines. </w:t>
      </w:r>
    </w:p>
    <w:p w:rsidR="007E668A" w:rsidRDefault="00053BB0" w:rsidP="007C2ECE">
      <w:pPr>
        <w:pStyle w:val="bodytext"/>
      </w:pPr>
      <w:r w:rsidRPr="007C2ECE">
        <w:t>The current poor state of ecological condition (from AUSRIVAS O</w:t>
      </w:r>
      <w:proofErr w:type="gramStart"/>
      <w:r w:rsidRPr="007C2ECE">
        <w:t>:E</w:t>
      </w:r>
      <w:proofErr w:type="gramEnd"/>
      <w:r w:rsidRPr="007C2ECE">
        <w:t xml:space="preserve"> scores) may, in some way, be linked to pressures from climate variability and change. However, because </w:t>
      </w:r>
      <w:proofErr w:type="spellStart"/>
      <w:r w:rsidRPr="007C2ECE">
        <w:t>macroinvertebrate</w:t>
      </w:r>
      <w:proofErr w:type="spellEnd"/>
      <w:r w:rsidRPr="007C2ECE">
        <w:t xml:space="preserve"> responses represent an integrated measure of various disturbances, it is difficult to discern the specific role of climate variability and change. </w:t>
      </w:r>
    </w:p>
    <w:p w:rsidR="003B431C" w:rsidRDefault="003B431C" w:rsidP="00661D4E">
      <w:pPr>
        <w:pStyle w:val="Heading3"/>
      </w:pPr>
    </w:p>
    <w:p w:rsidR="00EB01C8" w:rsidRPr="00EB01C8" w:rsidRDefault="00EB01C8" w:rsidP="00EB01C8"/>
    <w:p w:rsidR="00E2717C" w:rsidRDefault="00E2717C" w:rsidP="00661D4E">
      <w:pPr>
        <w:pStyle w:val="Heading3"/>
      </w:pPr>
      <w:r>
        <w:t>Water resource development</w:t>
      </w:r>
    </w:p>
    <w:p w:rsidR="00053BB0" w:rsidRPr="007E668A" w:rsidRDefault="00053BB0" w:rsidP="007C2ECE">
      <w:pPr>
        <w:pStyle w:val="bodytext"/>
        <w:rPr>
          <w:rFonts w:asciiTheme="majorHAnsi" w:eastAsiaTheme="majorEastAsia" w:hAnsiTheme="majorHAnsi" w:cs="MiloOT"/>
          <w:sz w:val="20"/>
          <w:szCs w:val="20"/>
        </w:rPr>
      </w:pPr>
      <w:r w:rsidRPr="007E668A">
        <w:t>Water resource development (</w:t>
      </w:r>
      <w:proofErr w:type="spellStart"/>
      <w:r w:rsidRPr="007E668A">
        <w:t>eg</w:t>
      </w:r>
      <w:proofErr w:type="spellEnd"/>
      <w:r w:rsidRPr="007E668A">
        <w:t xml:space="preserve"> dams, water extraction, </w:t>
      </w:r>
      <w:proofErr w:type="gramStart"/>
      <w:r w:rsidRPr="007E668A">
        <w:t>stream</w:t>
      </w:r>
      <w:proofErr w:type="gramEnd"/>
      <w:r w:rsidRPr="007E668A">
        <w:t xml:space="preserve">-flow regulation) is critical for </w:t>
      </w:r>
      <w:r w:rsidR="00EB01C8">
        <w:t>the predictable supply of water</w:t>
      </w:r>
      <w:r w:rsidR="007E668A">
        <w:t>.</w:t>
      </w:r>
      <w:r w:rsidR="007E668A">
        <w:rPr>
          <w:rFonts w:asciiTheme="majorHAnsi" w:eastAsiaTheme="majorEastAsia" w:hAnsiTheme="majorHAnsi" w:cs="MiloOT"/>
          <w:sz w:val="20"/>
          <w:szCs w:val="20"/>
        </w:rPr>
        <w:t xml:space="preserve"> </w:t>
      </w:r>
      <w:r w:rsidRPr="00053BB0">
        <w:t>Through damming and water extraction, water resource development changes a river’s flow regime by altering the rate, amount, timing, magnitude, frequency and duration of flows. Dams and water extraction in the ACT have substantially changed river flow regimes in the ACT, with decreases in the amount of flows in some areas (</w:t>
      </w:r>
      <w:proofErr w:type="spellStart"/>
      <w:r w:rsidRPr="00053BB0">
        <w:t>eg</w:t>
      </w:r>
      <w:proofErr w:type="spellEnd"/>
      <w:r w:rsidRPr="00053BB0">
        <w:t xml:space="preserve"> Cotter and </w:t>
      </w:r>
      <w:proofErr w:type="spellStart"/>
      <w:r w:rsidRPr="00053BB0">
        <w:t>Queanbeyan</w:t>
      </w:r>
      <w:proofErr w:type="spellEnd"/>
      <w:r w:rsidRPr="00053BB0">
        <w:t xml:space="preserve"> rivers), and increases in the frequency and duration of low-flow events. </w:t>
      </w:r>
    </w:p>
    <w:p w:rsidR="00053BB0" w:rsidRPr="004A697A" w:rsidRDefault="00053BB0" w:rsidP="007C2ECE">
      <w:pPr>
        <w:pStyle w:val="bodytext"/>
      </w:pPr>
      <w:r w:rsidRPr="00053BB0">
        <w:t xml:space="preserve">The pressure placed on ecological function by river regulation in the ACT is managed through environmental flow allocations, which have been effective in maintaining functioning ecological communities (fish, macroinvertebrates and algae). In 2011–2015, ecological condition (AUSRIVAS O:E score) downstream of dams on the Cotter River (Cotter and </w:t>
      </w:r>
      <w:proofErr w:type="spellStart"/>
      <w:r w:rsidRPr="00053BB0">
        <w:t>Corin</w:t>
      </w:r>
      <w:proofErr w:type="spellEnd"/>
      <w:r w:rsidRPr="00053BB0">
        <w:t xml:space="preserve">) and </w:t>
      </w:r>
      <w:proofErr w:type="spellStart"/>
      <w:r w:rsidRPr="00053BB0">
        <w:t>Queanbeyan</w:t>
      </w:r>
      <w:proofErr w:type="spellEnd"/>
      <w:r w:rsidRPr="00053BB0">
        <w:t xml:space="preserve"> River (Googong Dam) was assessed as significantly impaired, but similar to reference (</w:t>
      </w:r>
      <w:proofErr w:type="spellStart"/>
      <w:r w:rsidRPr="00053BB0">
        <w:t>Bendora</w:t>
      </w:r>
      <w:proofErr w:type="spellEnd"/>
      <w:r w:rsidRPr="00053BB0">
        <w:t xml:space="preserve"> Dam). Therefore, it is likely that river regulation is having an influence on ecological condition, but the pressure is being offset</w:t>
      </w:r>
      <w:r w:rsidR="00EB01C8">
        <w:t xml:space="preserve"> by environmental flow releases which have been effective in maintaining functioning ecological communities </w:t>
      </w:r>
      <w:r w:rsidR="0002178F">
        <w:t>(fish, macroinvertebrates and algae).</w:t>
      </w:r>
    </w:p>
    <w:p w:rsidR="0040696A" w:rsidRDefault="0040696A" w:rsidP="004749A3">
      <w:pPr>
        <w:pStyle w:val="Heading3"/>
      </w:pPr>
      <w:r>
        <w:t xml:space="preserve">Response </w:t>
      </w:r>
    </w:p>
    <w:p w:rsidR="000672FF" w:rsidRPr="004A697A" w:rsidRDefault="0024228C" w:rsidP="007C2ECE">
      <w:pPr>
        <w:pStyle w:val="bodytext"/>
      </w:pPr>
      <w:r w:rsidRPr="004A697A">
        <w:t>Water managers are well aware of the pressures and, in 2011–2015, major progress was made in increasing the ACT’s water storage capacity and establishing integrated catchment management as a fundamental part of water cycle management in the ACT.</w:t>
      </w:r>
    </w:p>
    <w:p w:rsidR="0024228C" w:rsidRPr="004A697A" w:rsidRDefault="0024228C" w:rsidP="007C2ECE">
      <w:pPr>
        <w:pStyle w:val="bodytext"/>
      </w:pPr>
      <w:r w:rsidRPr="004A697A">
        <w:t xml:space="preserve">In 2011, a review of the 2004 water resource strategy, </w:t>
      </w:r>
      <w:r w:rsidRPr="003D3122">
        <w:rPr>
          <w:i/>
        </w:rPr>
        <w:t xml:space="preserve">Think </w:t>
      </w:r>
      <w:r w:rsidR="00606265" w:rsidRPr="003D3122">
        <w:rPr>
          <w:i/>
        </w:rPr>
        <w:t>Water, Act Water</w:t>
      </w:r>
      <w:r w:rsidRPr="004A697A">
        <w:t xml:space="preserve">, found that significant achievements had been made towards the strategy’s objectives, which were focused on: </w:t>
      </w:r>
    </w:p>
    <w:p w:rsidR="0024228C" w:rsidRPr="000C55C5" w:rsidRDefault="0002178F" w:rsidP="000C55C5">
      <w:pPr>
        <w:pStyle w:val="bulletlist"/>
      </w:pPr>
      <w:r>
        <w:t>i</w:t>
      </w:r>
      <w:r w:rsidR="006F40DC" w:rsidRPr="000C55C5">
        <w:t xml:space="preserve">ncreasing the efficiency of water use </w:t>
      </w:r>
    </w:p>
    <w:p w:rsidR="0024228C" w:rsidRPr="000C55C5" w:rsidRDefault="0002178F" w:rsidP="000C55C5">
      <w:pPr>
        <w:pStyle w:val="bulletlist"/>
      </w:pPr>
      <w:r>
        <w:t>p</w:t>
      </w:r>
      <w:r w:rsidR="006F40DC" w:rsidRPr="000C55C5">
        <w:t xml:space="preserve">roviding long-term reliable sources of water for the </w:t>
      </w:r>
      <w:r>
        <w:t>act and region, and</w:t>
      </w:r>
    </w:p>
    <w:p w:rsidR="0024228C" w:rsidRPr="000C55C5" w:rsidRDefault="00F4299E" w:rsidP="000C55C5">
      <w:pPr>
        <w:pStyle w:val="bulletlist"/>
      </w:pPr>
      <w:r>
        <w:rPr>
          <w:noProof/>
          <w:lang w:val="en-AU" w:eastAsia="en-AU" w:bidi="ar-SA"/>
        </w:rPr>
        <w:pict>
          <v:shape id="_x0000_s1037" type="#_x0000_t202" style="position:absolute;left:0;text-align:left;margin-left:201.05pt;margin-top:32.75pt;width:252.7pt;height:202.4pt;z-index:-251655168;mso-width-relative:margin;mso-height-relative:margin" wrapcoords="-83 0 -83 21528 21600 21528 21600 0 -83 0" stroked="f">
            <v:textbox style="mso-next-textbox:#_x0000_s1037">
              <w:txbxContent>
                <w:p w:rsidR="00E07762" w:rsidRDefault="000E6652" w:rsidP="00E07762">
                  <w:r>
                    <w:rPr>
                      <w:noProof/>
                      <w:lang w:val="en-AU" w:eastAsia="en-AU" w:bidi="ar-SA"/>
                    </w:rPr>
                    <w:drawing>
                      <wp:inline distT="0" distB="0" distL="0" distR="0">
                        <wp:extent cx="2846717" cy="1897810"/>
                        <wp:effectExtent l="19050" t="0" r="0" b="0"/>
                        <wp:docPr id="5" name="Picture 2" descr="C:\Users\becky smith\AppData\Local\Microsoft\Windows\Temporary Internet Files\Content.Word\dickson wetlan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 smith\AppData\Local\Microsoft\Windows\Temporary Internet Files\Content.Word\dickson wetlandv2.jpg"/>
                                <pic:cNvPicPr>
                                  <a:picLocks noChangeAspect="1" noChangeArrowheads="1"/>
                                </pic:cNvPicPr>
                              </pic:nvPicPr>
                              <pic:blipFill>
                                <a:blip r:embed="rId10" cstate="email"/>
                                <a:stretch>
                                  <a:fillRect/>
                                </a:stretch>
                              </pic:blipFill>
                              <pic:spPr bwMode="auto">
                                <a:xfrm>
                                  <a:off x="0" y="0"/>
                                  <a:ext cx="2843826" cy="1895883"/>
                                </a:xfrm>
                                <a:prstGeom prst="rect">
                                  <a:avLst/>
                                </a:prstGeom>
                                <a:noFill/>
                                <a:ln w="9525">
                                  <a:noFill/>
                                  <a:miter lim="800000"/>
                                  <a:headEnd/>
                                  <a:tailEnd/>
                                </a:ln>
                              </pic:spPr>
                            </pic:pic>
                          </a:graphicData>
                        </a:graphic>
                      </wp:inline>
                    </w:drawing>
                  </w:r>
                </w:p>
                <w:p w:rsidR="00076404" w:rsidRPr="00076404" w:rsidRDefault="00076404" w:rsidP="00E07762">
                  <w:pPr>
                    <w:rPr>
                      <w:b/>
                      <w:sz w:val="18"/>
                    </w:rPr>
                  </w:pPr>
                  <w:r>
                    <w:rPr>
                      <w:b/>
                      <w:sz w:val="18"/>
                    </w:rPr>
                    <w:t>The ACT has many urban water features and green spaces that contribute to ecosystem services, including Dickson Wetland. Photo: ACT Government</w:t>
                  </w:r>
                </w:p>
              </w:txbxContent>
            </v:textbox>
            <w10:wrap type="tight"/>
          </v:shape>
        </w:pict>
      </w:r>
      <w:proofErr w:type="gramStart"/>
      <w:r w:rsidR="0002178F">
        <w:t>p</w:t>
      </w:r>
      <w:r w:rsidR="006F40DC" w:rsidRPr="000C55C5">
        <w:t>romoting</w:t>
      </w:r>
      <w:proofErr w:type="gramEnd"/>
      <w:r w:rsidR="006F40DC" w:rsidRPr="000C55C5">
        <w:t xml:space="preserve"> the development and implementation of an integrated approach to ACT – NSW cross-border supply and management. </w:t>
      </w:r>
    </w:p>
    <w:p w:rsidR="0024228C" w:rsidRDefault="0024228C" w:rsidP="00BD033D">
      <w:pPr>
        <w:pStyle w:val="bodytext"/>
        <w:spacing w:before="240"/>
      </w:pPr>
      <w:r w:rsidRPr="004A697A">
        <w:t>The review found that the strategy had successfully guided the ACT to improved water security, and that it was timely to explore potential new strategies for the ACT’s future water needs.</w:t>
      </w:r>
    </w:p>
    <w:p w:rsidR="003D3122" w:rsidRDefault="0024228C" w:rsidP="003C6D7E">
      <w:pPr>
        <w:pStyle w:val="bodytext"/>
      </w:pPr>
      <w:r w:rsidRPr="004A697A">
        <w:t xml:space="preserve">In August 2014, the new </w:t>
      </w:r>
      <w:r w:rsidRPr="006F40DC">
        <w:rPr>
          <w:i/>
        </w:rPr>
        <w:t>ACT Water Strategy 2014–44: Striking the Balance</w:t>
      </w:r>
      <w:r w:rsidRPr="004A697A">
        <w:t>, was released. This strategy focuses on achieving healthy catchments and water bodies; a sustainable water supply that is used efficiently; and a community that values and enjoys clean, healthy catchments. For each of these outcomes, the ACT Water Strategy identifies strategies and actions to guide water management in the ACT for the next 30 years. The strategy will be implemented through five-year implementation plans, and effectiveness will be monitored through identified targets and indicators.</w:t>
      </w:r>
      <w:r w:rsidR="003316FD">
        <w:t xml:space="preserve"> </w:t>
      </w:r>
    </w:p>
    <w:p w:rsidR="00954D8A" w:rsidRDefault="00954D8A" w:rsidP="00954D8A"/>
    <w:p w:rsidR="00954D8A" w:rsidRDefault="00954D8A" w:rsidP="00BD033D">
      <w:r>
        <w:t xml:space="preserve">More information on this topic is available in the </w:t>
      </w:r>
      <w:r w:rsidRPr="00670E05">
        <w:rPr>
          <w:i/>
        </w:rPr>
        <w:t>ACT State of the Environment Report</w:t>
      </w:r>
      <w:r>
        <w:t xml:space="preserve"> 2015 </w:t>
      </w:r>
      <w:hyperlink r:id="rId11" w:history="1">
        <w:r>
          <w:rPr>
            <w:rStyle w:val="Hyperlink"/>
          </w:rPr>
          <w:t>http://reports.envcomm.act.gov.au/actsoe2015</w:t>
        </w:r>
      </w:hyperlink>
      <w:r w:rsidRPr="00670E05">
        <w:rPr>
          <w:rFonts w:ascii="Times New Roman" w:eastAsia="Times New Roman" w:hAnsi="Times New Roman"/>
          <w:sz w:val="24"/>
          <w:szCs w:val="24"/>
        </w:rPr>
        <w:t xml:space="preserve"> </w:t>
      </w:r>
    </w:p>
    <w:sectPr w:rsidR="00954D8A" w:rsidSect="004B03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A4" w:rsidRDefault="00096FA4" w:rsidP="00A9430B">
      <w:r>
        <w:separator/>
      </w:r>
    </w:p>
  </w:endnote>
  <w:endnote w:type="continuationSeparator" w:id="0">
    <w:p w:rsidR="00096FA4" w:rsidRDefault="00096FA4" w:rsidP="00A94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oOT">
    <w:altName w:val="Milo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loOT-Bold">
    <w:altName w:val="Milo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27" w:rsidRPr="00B44F27" w:rsidRDefault="00B44F27" w:rsidP="00B44F27">
    <w:pPr>
      <w:pStyle w:val="Footer"/>
    </w:pPr>
    <w:r w:rsidRPr="005E7A3C">
      <w:rPr>
        <w:sz w:val="18"/>
        <w:szCs w:val="18"/>
      </w:rPr>
      <w:t>ACT State of the Environment Report 2015 |Commissioner for Sustainability and the Environment | www.envcomm.act.gov.au</w:t>
    </w:r>
    <w:r w:rsidRPr="005E7A3C">
      <w:t xml:space="preserve"> </w:t>
    </w:r>
    <w:sdt>
      <w:sdtPr>
        <w:id w:val="88973523"/>
        <w:docPartObj>
          <w:docPartGallery w:val="Page Numbers (Bottom of Page)"/>
          <w:docPartUnique/>
        </w:docPartObj>
      </w:sdtPr>
      <w:sdtContent>
        <w:r>
          <w:tab/>
        </w:r>
        <w:r>
          <w:tab/>
        </w:r>
        <w:r>
          <w:tab/>
        </w:r>
        <w:r w:rsidR="00F4299E">
          <w:fldChar w:fldCharType="begin"/>
        </w:r>
        <w:r>
          <w:instrText xml:space="preserve"> PAGE   \* MERGEFORMAT </w:instrText>
        </w:r>
        <w:r w:rsidR="00F4299E">
          <w:fldChar w:fldCharType="separate"/>
        </w:r>
        <w:r w:rsidR="009570D9">
          <w:rPr>
            <w:noProof/>
          </w:rPr>
          <w:t>5</w:t>
        </w:r>
        <w:r w:rsidR="00F4299E">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A4" w:rsidRDefault="00096FA4" w:rsidP="00A9430B">
      <w:r>
        <w:separator/>
      </w:r>
    </w:p>
  </w:footnote>
  <w:footnote w:type="continuationSeparator" w:id="0">
    <w:p w:rsidR="00096FA4" w:rsidRDefault="00096FA4" w:rsidP="00A94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7C" w:rsidRDefault="00E2717C" w:rsidP="003C6D7E">
    <w:pPr>
      <w:pStyle w:val="Header"/>
      <w:spacing w:after="240"/>
    </w:pPr>
    <w:r>
      <w:rPr>
        <w:noProof/>
        <w:lang w:val="en-AU" w:eastAsia="en-AU" w:bidi="ar-SA"/>
      </w:rPr>
      <w:drawing>
        <wp:inline distT="0" distB="0" distL="0" distR="0">
          <wp:extent cx="1921894" cy="389949"/>
          <wp:effectExtent l="19050" t="0" r="2156" b="0"/>
          <wp:docPr id="11"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stretch>
                    <a:fillRect/>
                  </a:stretch>
                </pic:blipFill>
                <pic:spPr>
                  <a:xfrm>
                    <a:off x="0" y="0"/>
                    <a:ext cx="1921631" cy="389896"/>
                  </a:xfrm>
                  <a:prstGeom prst="rect">
                    <a:avLst/>
                  </a:prstGeom>
                </pic:spPr>
              </pic:pic>
            </a:graphicData>
          </a:graphic>
        </wp:inline>
      </w:drawing>
    </w:r>
    <w:r>
      <w:rPr>
        <w:rStyle w:val="TitleChar"/>
        <w:spacing w:val="-20"/>
        <w:sz w:val="28"/>
        <w:szCs w:val="28"/>
      </w:rPr>
      <w:tab/>
    </w:r>
    <w:r w:rsidRPr="002517D4">
      <w:rPr>
        <w:rStyle w:val="TitleChar"/>
        <w:spacing w:val="-20"/>
        <w:sz w:val="28"/>
        <w:szCs w:val="28"/>
      </w:rPr>
      <w:t>Fact Sheet: ACT State of the Environment Report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E25E80"/>
    <w:multiLevelType w:val="hybridMultilevel"/>
    <w:tmpl w:val="CBC42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70E0"/>
    <w:multiLevelType w:val="hybridMultilevel"/>
    <w:tmpl w:val="5CB4D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15171"/>
    <w:multiLevelType w:val="hybridMultilevel"/>
    <w:tmpl w:val="28FCAE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9A64A2"/>
    <w:multiLevelType w:val="hybridMultilevel"/>
    <w:tmpl w:val="EB74473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30C6214"/>
    <w:multiLevelType w:val="hybridMultilevel"/>
    <w:tmpl w:val="45C4D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3A3271"/>
    <w:multiLevelType w:val="hybridMultilevel"/>
    <w:tmpl w:val="A1C0EAD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41A2410"/>
    <w:multiLevelType w:val="hybridMultilevel"/>
    <w:tmpl w:val="9CB2DD02"/>
    <w:lvl w:ilvl="0" w:tplc="3C7E25E0">
      <w:start w:val="1"/>
      <w:numFmt w:val="bullet"/>
      <w:pStyle w:val="bulletlis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D599140"/>
    <w:multiLevelType w:val="hybridMultilevel"/>
    <w:tmpl w:val="346A1BD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537D8E"/>
    <w:multiLevelType w:val="hybridMultilevel"/>
    <w:tmpl w:val="9EB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7873A6"/>
    <w:multiLevelType w:val="hybridMultilevel"/>
    <w:tmpl w:val="62B0626C"/>
    <w:lvl w:ilvl="0" w:tplc="4B70740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6A91C21"/>
    <w:multiLevelType w:val="hybridMultilevel"/>
    <w:tmpl w:val="A7641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DBD33FD"/>
    <w:multiLevelType w:val="hybridMultilevel"/>
    <w:tmpl w:val="75781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08454D4"/>
    <w:multiLevelType w:val="hybridMultilevel"/>
    <w:tmpl w:val="31D657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9D652FD"/>
    <w:multiLevelType w:val="hybridMultilevel"/>
    <w:tmpl w:val="0EDA1E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7FB772B0"/>
    <w:multiLevelType w:val="hybridMultilevel"/>
    <w:tmpl w:val="54A4A68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7"/>
  </w:num>
  <w:num w:numId="6">
    <w:abstractNumId w:val="8"/>
  </w:num>
  <w:num w:numId="7">
    <w:abstractNumId w:val="0"/>
  </w:num>
  <w:num w:numId="8">
    <w:abstractNumId w:val="10"/>
  </w:num>
  <w:num w:numId="9">
    <w:abstractNumId w:val="1"/>
  </w:num>
  <w:num w:numId="10">
    <w:abstractNumId w:val="11"/>
  </w:num>
  <w:num w:numId="11">
    <w:abstractNumId w:val="9"/>
  </w:num>
  <w:num w:numId="12">
    <w:abstractNumId w:val="6"/>
  </w:num>
  <w:num w:numId="13">
    <w:abstractNumId w:val="1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93A67"/>
    <w:rsid w:val="00021530"/>
    <w:rsid w:val="0002178F"/>
    <w:rsid w:val="00053BB0"/>
    <w:rsid w:val="000672FF"/>
    <w:rsid w:val="00070D0D"/>
    <w:rsid w:val="000740D7"/>
    <w:rsid w:val="00075C3A"/>
    <w:rsid w:val="00076404"/>
    <w:rsid w:val="00080E89"/>
    <w:rsid w:val="00096FA4"/>
    <w:rsid w:val="000B7DF9"/>
    <w:rsid w:val="000C55C5"/>
    <w:rsid w:val="000E6652"/>
    <w:rsid w:val="00100F34"/>
    <w:rsid w:val="00110672"/>
    <w:rsid w:val="00111263"/>
    <w:rsid w:val="0011665F"/>
    <w:rsid w:val="00143221"/>
    <w:rsid w:val="001559F4"/>
    <w:rsid w:val="001623AF"/>
    <w:rsid w:val="00166A7D"/>
    <w:rsid w:val="0017408D"/>
    <w:rsid w:val="00193A67"/>
    <w:rsid w:val="0024228C"/>
    <w:rsid w:val="00272F70"/>
    <w:rsid w:val="002A448B"/>
    <w:rsid w:val="002C120A"/>
    <w:rsid w:val="00310345"/>
    <w:rsid w:val="003316FD"/>
    <w:rsid w:val="00360779"/>
    <w:rsid w:val="003629D6"/>
    <w:rsid w:val="00364115"/>
    <w:rsid w:val="00366C51"/>
    <w:rsid w:val="003670E7"/>
    <w:rsid w:val="003830F7"/>
    <w:rsid w:val="003B3CB0"/>
    <w:rsid w:val="003B431C"/>
    <w:rsid w:val="003C007E"/>
    <w:rsid w:val="003C6D7E"/>
    <w:rsid w:val="003D3122"/>
    <w:rsid w:val="003D3323"/>
    <w:rsid w:val="0040696A"/>
    <w:rsid w:val="00406E16"/>
    <w:rsid w:val="00421EA1"/>
    <w:rsid w:val="004749A3"/>
    <w:rsid w:val="00491798"/>
    <w:rsid w:val="004A355B"/>
    <w:rsid w:val="004A697A"/>
    <w:rsid w:val="004B03DF"/>
    <w:rsid w:val="004B79AC"/>
    <w:rsid w:val="004E3668"/>
    <w:rsid w:val="004F46B9"/>
    <w:rsid w:val="00503819"/>
    <w:rsid w:val="0052437A"/>
    <w:rsid w:val="00530D19"/>
    <w:rsid w:val="00544FB4"/>
    <w:rsid w:val="00567C43"/>
    <w:rsid w:val="00586D6F"/>
    <w:rsid w:val="005A1B97"/>
    <w:rsid w:val="00606265"/>
    <w:rsid w:val="00627040"/>
    <w:rsid w:val="006420A0"/>
    <w:rsid w:val="00661D4E"/>
    <w:rsid w:val="00661D99"/>
    <w:rsid w:val="006A20D4"/>
    <w:rsid w:val="006D6FE8"/>
    <w:rsid w:val="006F2C5E"/>
    <w:rsid w:val="006F40DC"/>
    <w:rsid w:val="00721E8A"/>
    <w:rsid w:val="00751EF9"/>
    <w:rsid w:val="007C232E"/>
    <w:rsid w:val="007C2ECE"/>
    <w:rsid w:val="007E268C"/>
    <w:rsid w:val="007E668A"/>
    <w:rsid w:val="0080051C"/>
    <w:rsid w:val="00860E96"/>
    <w:rsid w:val="008B1565"/>
    <w:rsid w:val="00904D44"/>
    <w:rsid w:val="0091243F"/>
    <w:rsid w:val="009435FA"/>
    <w:rsid w:val="00951795"/>
    <w:rsid w:val="00954D8A"/>
    <w:rsid w:val="009563A6"/>
    <w:rsid w:val="009570D9"/>
    <w:rsid w:val="0096532E"/>
    <w:rsid w:val="009A50AA"/>
    <w:rsid w:val="009D0658"/>
    <w:rsid w:val="00A06ECD"/>
    <w:rsid w:val="00A63D33"/>
    <w:rsid w:val="00A743C3"/>
    <w:rsid w:val="00A7443B"/>
    <w:rsid w:val="00A753BA"/>
    <w:rsid w:val="00A8595C"/>
    <w:rsid w:val="00A9430B"/>
    <w:rsid w:val="00AA6454"/>
    <w:rsid w:val="00AF73EE"/>
    <w:rsid w:val="00B06A56"/>
    <w:rsid w:val="00B41CCA"/>
    <w:rsid w:val="00B44F27"/>
    <w:rsid w:val="00B66474"/>
    <w:rsid w:val="00B66F8B"/>
    <w:rsid w:val="00B67FE0"/>
    <w:rsid w:val="00BB68AB"/>
    <w:rsid w:val="00BD033D"/>
    <w:rsid w:val="00C44E50"/>
    <w:rsid w:val="00C478FB"/>
    <w:rsid w:val="00C67DC8"/>
    <w:rsid w:val="00CA698F"/>
    <w:rsid w:val="00CF01BD"/>
    <w:rsid w:val="00D00631"/>
    <w:rsid w:val="00D10758"/>
    <w:rsid w:val="00D26137"/>
    <w:rsid w:val="00D47FAD"/>
    <w:rsid w:val="00D74FE5"/>
    <w:rsid w:val="00DA0EB7"/>
    <w:rsid w:val="00DB4C69"/>
    <w:rsid w:val="00DB4D01"/>
    <w:rsid w:val="00DC1E04"/>
    <w:rsid w:val="00DE1A34"/>
    <w:rsid w:val="00DF6599"/>
    <w:rsid w:val="00E07762"/>
    <w:rsid w:val="00E2717C"/>
    <w:rsid w:val="00E372FE"/>
    <w:rsid w:val="00E52E23"/>
    <w:rsid w:val="00E944C2"/>
    <w:rsid w:val="00EB01C8"/>
    <w:rsid w:val="00EB56AD"/>
    <w:rsid w:val="00EE52CA"/>
    <w:rsid w:val="00F01DBF"/>
    <w:rsid w:val="00F1058C"/>
    <w:rsid w:val="00F3061D"/>
    <w:rsid w:val="00F4299E"/>
    <w:rsid w:val="00F439DE"/>
    <w:rsid w:val="00F47FA1"/>
    <w:rsid w:val="00F808F2"/>
    <w:rsid w:val="00FB4D57"/>
    <w:rsid w:val="00FD4C1C"/>
    <w:rsid w:val="00FF66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0B"/>
    <w:pPr>
      <w:spacing w:before="120" w:after="120"/>
      <w:ind w:firstLine="0"/>
    </w:pPr>
    <w:rPr>
      <w:rFonts w:eastAsiaTheme="majorEastAsia" w:cs="MiloOT"/>
      <w:color w:val="000000"/>
    </w:rPr>
  </w:style>
  <w:style w:type="paragraph" w:styleId="Heading1">
    <w:name w:val="heading 1"/>
    <w:basedOn w:val="Normal"/>
    <w:next w:val="Normal"/>
    <w:link w:val="Heading1Char"/>
    <w:uiPriority w:val="9"/>
    <w:qFormat/>
    <w:rsid w:val="00A9430B"/>
    <w:pPr>
      <w:pBdr>
        <w:bottom w:val="single" w:sz="12" w:space="1" w:color="B35E06" w:themeColor="accent1" w:themeShade="BF"/>
      </w:pBdr>
      <w:spacing w:before="360"/>
      <w:outlineLvl w:val="0"/>
    </w:pPr>
    <w:rPr>
      <w:rFonts w:asciiTheme="majorHAnsi" w:hAnsiTheme="majorHAnsi" w:cstheme="majorBidi"/>
      <w:b/>
      <w:bCs/>
      <w:color w:val="B35E06" w:themeColor="accent1" w:themeShade="BF"/>
      <w:sz w:val="48"/>
      <w:szCs w:val="24"/>
    </w:rPr>
  </w:style>
  <w:style w:type="paragraph" w:styleId="Heading2">
    <w:name w:val="heading 2"/>
    <w:basedOn w:val="Normal"/>
    <w:next w:val="Normal"/>
    <w:link w:val="Heading2Char"/>
    <w:uiPriority w:val="9"/>
    <w:unhideWhenUsed/>
    <w:qFormat/>
    <w:rsid w:val="00D26137"/>
    <w:pPr>
      <w:pBdr>
        <w:bottom w:val="single" w:sz="8" w:space="1" w:color="F07F09" w:themeColor="accent1"/>
      </w:pBdr>
      <w:spacing w:before="200" w:after="80"/>
      <w:outlineLvl w:val="1"/>
    </w:pPr>
    <w:rPr>
      <w:rFonts w:asciiTheme="majorHAnsi" w:hAnsiTheme="majorHAnsi" w:cstheme="majorBidi"/>
      <w:color w:val="B35E06" w:themeColor="accent1" w:themeShade="BF"/>
      <w:sz w:val="24"/>
      <w:szCs w:val="24"/>
    </w:rPr>
  </w:style>
  <w:style w:type="paragraph" w:styleId="Heading3">
    <w:name w:val="heading 3"/>
    <w:basedOn w:val="Heading2"/>
    <w:next w:val="Normal"/>
    <w:link w:val="Heading3Char"/>
    <w:uiPriority w:val="9"/>
    <w:unhideWhenUsed/>
    <w:qFormat/>
    <w:rsid w:val="00A8595C"/>
    <w:pPr>
      <w:spacing w:before="240" w:after="120"/>
      <w:outlineLvl w:val="2"/>
    </w:pPr>
    <w:rPr>
      <w:color w:val="F07F09" w:themeColor="accent1"/>
    </w:rPr>
  </w:style>
  <w:style w:type="paragraph" w:styleId="Heading4">
    <w:name w:val="heading 4"/>
    <w:basedOn w:val="Heading2"/>
    <w:next w:val="Normal"/>
    <w:link w:val="Heading4Char"/>
    <w:uiPriority w:val="9"/>
    <w:unhideWhenUsed/>
    <w:qFormat/>
    <w:rsid w:val="003C6D7E"/>
    <w:pPr>
      <w:outlineLvl w:val="3"/>
    </w:pPr>
  </w:style>
  <w:style w:type="paragraph" w:styleId="Heading5">
    <w:name w:val="heading 5"/>
    <w:basedOn w:val="Normal"/>
    <w:next w:val="Normal"/>
    <w:link w:val="Heading5Char"/>
    <w:uiPriority w:val="9"/>
    <w:unhideWhenUsed/>
    <w:qFormat/>
    <w:rsid w:val="003C6D7E"/>
    <w:pPr>
      <w:spacing w:before="200" w:after="80"/>
      <w:outlineLvl w:val="4"/>
    </w:pPr>
    <w:rPr>
      <w:rFonts w:asciiTheme="majorHAnsi" w:hAnsiTheme="majorHAnsi" w:cstheme="majorBidi"/>
      <w:noProof/>
      <w:color w:val="F07F09" w:themeColor="accent1"/>
      <w:sz w:val="24"/>
      <w:szCs w:val="24"/>
      <w:lang w:val="en-AU" w:eastAsia="en-AU" w:bidi="ar-SA"/>
    </w:rPr>
  </w:style>
  <w:style w:type="paragraph" w:styleId="Heading6">
    <w:name w:val="heading 6"/>
    <w:basedOn w:val="Heading8"/>
    <w:next w:val="Normal"/>
    <w:link w:val="Heading6Char"/>
    <w:uiPriority w:val="9"/>
    <w:unhideWhenUsed/>
    <w:rsid w:val="003C6D7E"/>
    <w:pPr>
      <w:outlineLvl w:val="5"/>
    </w:pPr>
    <w:rPr>
      <w:color w:val="783F04" w:themeColor="accent1" w:themeShade="80"/>
    </w:rPr>
  </w:style>
  <w:style w:type="paragraph" w:styleId="Heading7">
    <w:name w:val="heading 7"/>
    <w:basedOn w:val="Normal"/>
    <w:next w:val="Normal"/>
    <w:link w:val="Heading7Char"/>
    <w:uiPriority w:val="9"/>
    <w:unhideWhenUsed/>
    <w:rsid w:val="00D26137"/>
    <w:pPr>
      <w:spacing w:before="320" w:after="100"/>
      <w:outlineLvl w:val="6"/>
    </w:pPr>
    <w:rPr>
      <w:rFonts w:asciiTheme="majorHAnsi" w:hAnsiTheme="majorHAnsi" w:cstheme="majorBidi"/>
      <w:b/>
      <w:bCs/>
      <w:color w:val="1B587C" w:themeColor="accent3"/>
      <w:sz w:val="20"/>
      <w:szCs w:val="20"/>
    </w:rPr>
  </w:style>
  <w:style w:type="paragraph" w:styleId="Heading8">
    <w:name w:val="heading 8"/>
    <w:basedOn w:val="Normal"/>
    <w:next w:val="Normal"/>
    <w:link w:val="Heading8Char"/>
    <w:uiPriority w:val="9"/>
    <w:unhideWhenUsed/>
    <w:qFormat/>
    <w:rsid w:val="00D26137"/>
    <w:pPr>
      <w:spacing w:before="320" w:after="100"/>
      <w:outlineLvl w:val="7"/>
    </w:pPr>
    <w:rPr>
      <w:rFonts w:asciiTheme="majorHAnsi" w:hAnsiTheme="majorHAnsi" w:cstheme="majorBidi"/>
      <w:b/>
      <w:bCs/>
      <w:i/>
      <w:iCs/>
      <w:color w:val="1B587C" w:themeColor="accent3"/>
      <w:sz w:val="20"/>
      <w:szCs w:val="20"/>
    </w:rPr>
  </w:style>
  <w:style w:type="paragraph" w:styleId="Heading9">
    <w:name w:val="heading 9"/>
    <w:basedOn w:val="Normal"/>
    <w:next w:val="Normal"/>
    <w:link w:val="Heading9Char"/>
    <w:uiPriority w:val="9"/>
    <w:semiHidden/>
    <w:unhideWhenUsed/>
    <w:rsid w:val="00D26137"/>
    <w:pPr>
      <w:spacing w:before="320" w:after="100"/>
      <w:outlineLvl w:val="8"/>
    </w:pPr>
    <w:rPr>
      <w:rFonts w:asciiTheme="majorHAnsi" w:hAnsiTheme="majorHAnsi" w:cstheme="majorBidi"/>
      <w:i/>
      <w:iCs/>
      <w:color w:val="1B587C"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30B"/>
    <w:rPr>
      <w:rFonts w:asciiTheme="majorHAnsi" w:eastAsiaTheme="majorEastAsia" w:hAnsiTheme="majorHAnsi" w:cstheme="majorBidi"/>
      <w:b/>
      <w:bCs/>
      <w:color w:val="B35E06" w:themeColor="accent1" w:themeShade="BF"/>
      <w:sz w:val="48"/>
      <w:szCs w:val="24"/>
    </w:rPr>
  </w:style>
  <w:style w:type="character" w:customStyle="1" w:styleId="Heading2Char">
    <w:name w:val="Heading 2 Char"/>
    <w:basedOn w:val="DefaultParagraphFont"/>
    <w:link w:val="Heading2"/>
    <w:uiPriority w:val="9"/>
    <w:rsid w:val="00D26137"/>
    <w:rPr>
      <w:rFonts w:asciiTheme="majorHAnsi" w:eastAsiaTheme="majorEastAsia" w:hAnsiTheme="majorHAnsi" w:cstheme="majorBidi"/>
      <w:color w:val="B35E06" w:themeColor="accent1" w:themeShade="BF"/>
      <w:sz w:val="24"/>
      <w:szCs w:val="24"/>
    </w:rPr>
  </w:style>
  <w:style w:type="character" w:customStyle="1" w:styleId="Heading3Char">
    <w:name w:val="Heading 3 Char"/>
    <w:basedOn w:val="DefaultParagraphFont"/>
    <w:link w:val="Heading3"/>
    <w:uiPriority w:val="9"/>
    <w:rsid w:val="004749A3"/>
    <w:rPr>
      <w:rFonts w:asciiTheme="majorHAnsi" w:eastAsiaTheme="majorEastAsia" w:hAnsiTheme="majorHAnsi" w:cstheme="majorBidi"/>
      <w:color w:val="F07F09" w:themeColor="accent1"/>
      <w:sz w:val="24"/>
      <w:szCs w:val="24"/>
    </w:rPr>
  </w:style>
  <w:style w:type="character" w:customStyle="1" w:styleId="Heading4Char">
    <w:name w:val="Heading 4 Char"/>
    <w:basedOn w:val="DefaultParagraphFont"/>
    <w:link w:val="Heading4"/>
    <w:uiPriority w:val="9"/>
    <w:rsid w:val="003C6D7E"/>
    <w:rPr>
      <w:rFonts w:asciiTheme="majorHAnsi" w:eastAsiaTheme="majorEastAsia" w:hAnsiTheme="majorHAnsi" w:cstheme="majorBidi"/>
      <w:color w:val="B35E06" w:themeColor="accent1" w:themeShade="BF"/>
      <w:sz w:val="24"/>
      <w:szCs w:val="24"/>
    </w:rPr>
  </w:style>
  <w:style w:type="character" w:customStyle="1" w:styleId="Heading5Char">
    <w:name w:val="Heading 5 Char"/>
    <w:basedOn w:val="DefaultParagraphFont"/>
    <w:link w:val="Heading5"/>
    <w:uiPriority w:val="9"/>
    <w:rsid w:val="003C6D7E"/>
    <w:rPr>
      <w:rFonts w:asciiTheme="majorHAnsi" w:eastAsiaTheme="majorEastAsia" w:hAnsiTheme="majorHAnsi" w:cstheme="majorBidi"/>
      <w:noProof/>
      <w:color w:val="F07F09" w:themeColor="accent1"/>
      <w:sz w:val="24"/>
      <w:szCs w:val="24"/>
      <w:lang w:val="en-AU" w:eastAsia="en-AU" w:bidi="ar-SA"/>
    </w:rPr>
  </w:style>
  <w:style w:type="character" w:customStyle="1" w:styleId="Heading6Char">
    <w:name w:val="Heading 6 Char"/>
    <w:basedOn w:val="DefaultParagraphFont"/>
    <w:link w:val="Heading6"/>
    <w:uiPriority w:val="9"/>
    <w:rsid w:val="003C6D7E"/>
    <w:rPr>
      <w:rFonts w:asciiTheme="majorHAnsi" w:eastAsiaTheme="majorEastAsia" w:hAnsiTheme="majorHAnsi" w:cstheme="majorBidi"/>
      <w:b/>
      <w:bCs/>
      <w:i/>
      <w:iCs/>
      <w:color w:val="783F04" w:themeColor="accent1" w:themeShade="80"/>
      <w:sz w:val="20"/>
      <w:szCs w:val="20"/>
    </w:rPr>
  </w:style>
  <w:style w:type="character" w:customStyle="1" w:styleId="Heading7Char">
    <w:name w:val="Heading 7 Char"/>
    <w:basedOn w:val="DefaultParagraphFont"/>
    <w:link w:val="Heading7"/>
    <w:uiPriority w:val="9"/>
    <w:rsid w:val="00D26137"/>
    <w:rPr>
      <w:rFonts w:asciiTheme="majorHAnsi" w:eastAsiaTheme="majorEastAsia" w:hAnsiTheme="majorHAnsi" w:cstheme="majorBidi"/>
      <w:b/>
      <w:bCs/>
      <w:color w:val="1B587C" w:themeColor="accent3"/>
      <w:sz w:val="20"/>
      <w:szCs w:val="20"/>
    </w:rPr>
  </w:style>
  <w:style w:type="character" w:customStyle="1" w:styleId="Heading8Char">
    <w:name w:val="Heading 8 Char"/>
    <w:basedOn w:val="DefaultParagraphFont"/>
    <w:link w:val="Heading8"/>
    <w:uiPriority w:val="9"/>
    <w:rsid w:val="00D26137"/>
    <w:rPr>
      <w:rFonts w:asciiTheme="majorHAnsi" w:eastAsiaTheme="majorEastAsia" w:hAnsiTheme="majorHAnsi" w:cstheme="majorBidi"/>
      <w:b/>
      <w:bCs/>
      <w:i/>
      <w:iCs/>
      <w:color w:val="1B587C" w:themeColor="accent3"/>
      <w:sz w:val="20"/>
      <w:szCs w:val="20"/>
    </w:rPr>
  </w:style>
  <w:style w:type="character" w:customStyle="1" w:styleId="Heading9Char">
    <w:name w:val="Heading 9 Char"/>
    <w:basedOn w:val="DefaultParagraphFont"/>
    <w:link w:val="Heading9"/>
    <w:uiPriority w:val="9"/>
    <w:semiHidden/>
    <w:rsid w:val="00D26137"/>
    <w:rPr>
      <w:rFonts w:asciiTheme="majorHAnsi" w:eastAsiaTheme="majorEastAsia" w:hAnsiTheme="majorHAnsi" w:cstheme="majorBidi"/>
      <w:i/>
      <w:iCs/>
      <w:color w:val="1B587C" w:themeColor="accent3"/>
      <w:sz w:val="20"/>
      <w:szCs w:val="20"/>
    </w:rPr>
  </w:style>
  <w:style w:type="paragraph" w:styleId="Caption">
    <w:name w:val="caption"/>
    <w:basedOn w:val="Normal"/>
    <w:next w:val="Normal"/>
    <w:uiPriority w:val="35"/>
    <w:semiHidden/>
    <w:unhideWhenUsed/>
    <w:qFormat/>
    <w:rsid w:val="00D26137"/>
    <w:rPr>
      <w:b/>
      <w:bCs/>
      <w:sz w:val="18"/>
      <w:szCs w:val="18"/>
    </w:rPr>
  </w:style>
  <w:style w:type="paragraph" w:styleId="Title">
    <w:name w:val="Title"/>
    <w:basedOn w:val="Normal"/>
    <w:next w:val="Normal"/>
    <w:link w:val="TitleChar"/>
    <w:uiPriority w:val="10"/>
    <w:qFormat/>
    <w:rsid w:val="00D26137"/>
    <w:pPr>
      <w:pBdr>
        <w:top w:val="single" w:sz="8" w:space="10" w:color="FABF81" w:themeColor="accent1" w:themeTint="7F"/>
        <w:bottom w:val="single" w:sz="24" w:space="15" w:color="1B587C" w:themeColor="accent3"/>
      </w:pBdr>
      <w:jc w:val="center"/>
    </w:pPr>
    <w:rPr>
      <w:rFonts w:asciiTheme="majorHAnsi" w:hAnsiTheme="majorHAnsi" w:cstheme="majorBidi"/>
      <w:i/>
      <w:iCs/>
      <w:color w:val="773F04" w:themeColor="accent1" w:themeShade="7F"/>
      <w:sz w:val="60"/>
      <w:szCs w:val="60"/>
    </w:rPr>
  </w:style>
  <w:style w:type="character" w:customStyle="1" w:styleId="TitleChar">
    <w:name w:val="Title Char"/>
    <w:basedOn w:val="DefaultParagraphFont"/>
    <w:link w:val="Title"/>
    <w:uiPriority w:val="10"/>
    <w:rsid w:val="00D26137"/>
    <w:rPr>
      <w:rFonts w:asciiTheme="majorHAnsi" w:eastAsiaTheme="majorEastAsia" w:hAnsiTheme="majorHAnsi" w:cstheme="majorBidi"/>
      <w:i/>
      <w:iCs/>
      <w:color w:val="773F04" w:themeColor="accent1" w:themeShade="7F"/>
      <w:sz w:val="60"/>
      <w:szCs w:val="60"/>
    </w:rPr>
  </w:style>
  <w:style w:type="paragraph" w:styleId="Subtitle">
    <w:name w:val="Subtitle"/>
    <w:basedOn w:val="Normal"/>
    <w:next w:val="Normal"/>
    <w:link w:val="SubtitleChar"/>
    <w:uiPriority w:val="11"/>
    <w:qFormat/>
    <w:rsid w:val="00D26137"/>
    <w:pPr>
      <w:spacing w:before="200" w:after="900"/>
      <w:jc w:val="right"/>
    </w:pPr>
    <w:rPr>
      <w:i/>
      <w:iCs/>
      <w:sz w:val="24"/>
      <w:szCs w:val="24"/>
    </w:rPr>
  </w:style>
  <w:style w:type="character" w:customStyle="1" w:styleId="SubtitleChar">
    <w:name w:val="Subtitle Char"/>
    <w:basedOn w:val="DefaultParagraphFont"/>
    <w:link w:val="Subtitle"/>
    <w:uiPriority w:val="11"/>
    <w:rsid w:val="00D26137"/>
    <w:rPr>
      <w:rFonts w:asciiTheme="minorHAnsi"/>
      <w:i/>
      <w:iCs/>
      <w:sz w:val="24"/>
      <w:szCs w:val="24"/>
    </w:rPr>
  </w:style>
  <w:style w:type="character" w:styleId="Strong">
    <w:name w:val="Strong"/>
    <w:basedOn w:val="DefaultParagraphFont"/>
    <w:uiPriority w:val="22"/>
    <w:qFormat/>
    <w:rsid w:val="00D26137"/>
    <w:rPr>
      <w:b/>
      <w:bCs/>
      <w:spacing w:val="0"/>
    </w:rPr>
  </w:style>
  <w:style w:type="character" w:styleId="Emphasis">
    <w:name w:val="Emphasis"/>
    <w:uiPriority w:val="20"/>
    <w:qFormat/>
    <w:rsid w:val="00D26137"/>
    <w:rPr>
      <w:b/>
      <w:bCs/>
      <w:i/>
      <w:iCs/>
      <w:color w:val="5A5A5A" w:themeColor="text1" w:themeTint="A5"/>
    </w:rPr>
  </w:style>
  <w:style w:type="paragraph" w:styleId="NoSpacing">
    <w:name w:val="No Spacing"/>
    <w:basedOn w:val="Normal"/>
    <w:link w:val="NoSpacingChar"/>
    <w:uiPriority w:val="1"/>
    <w:qFormat/>
    <w:rsid w:val="00D26137"/>
  </w:style>
  <w:style w:type="character" w:customStyle="1" w:styleId="NoSpacingChar">
    <w:name w:val="No Spacing Char"/>
    <w:basedOn w:val="DefaultParagraphFont"/>
    <w:link w:val="NoSpacing"/>
    <w:uiPriority w:val="1"/>
    <w:rsid w:val="00D26137"/>
  </w:style>
  <w:style w:type="paragraph" w:styleId="ListParagraph">
    <w:name w:val="List Paragraph"/>
    <w:basedOn w:val="Normal"/>
    <w:link w:val="ListParagraphChar"/>
    <w:uiPriority w:val="34"/>
    <w:qFormat/>
    <w:rsid w:val="00D26137"/>
    <w:pPr>
      <w:ind w:left="720"/>
      <w:contextualSpacing/>
    </w:pPr>
  </w:style>
  <w:style w:type="paragraph" w:styleId="Quote">
    <w:name w:val="Quote"/>
    <w:basedOn w:val="Normal"/>
    <w:next w:val="Normal"/>
    <w:link w:val="QuoteChar"/>
    <w:uiPriority w:val="29"/>
    <w:qFormat/>
    <w:rsid w:val="00D26137"/>
    <w:rPr>
      <w:rFonts w:asciiTheme="majorHAnsi" w:hAnsiTheme="majorHAnsi" w:cstheme="majorBidi"/>
      <w:i/>
      <w:iCs/>
      <w:color w:val="5A5A5A" w:themeColor="text1" w:themeTint="A5"/>
    </w:rPr>
  </w:style>
  <w:style w:type="character" w:customStyle="1" w:styleId="QuoteChar">
    <w:name w:val="Quote Char"/>
    <w:basedOn w:val="DefaultParagraphFont"/>
    <w:link w:val="Quote"/>
    <w:uiPriority w:val="29"/>
    <w:rsid w:val="00D26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6137"/>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6137"/>
    <w:rPr>
      <w:rFonts w:asciiTheme="majorHAnsi" w:eastAsiaTheme="majorEastAsia" w:hAnsiTheme="majorHAnsi" w:cstheme="majorBidi"/>
      <w:i/>
      <w:iCs/>
      <w:color w:val="FFFFFF" w:themeColor="background1"/>
      <w:sz w:val="24"/>
      <w:szCs w:val="24"/>
      <w:shd w:val="clear" w:color="auto" w:fill="F07F09" w:themeFill="accent1"/>
    </w:rPr>
  </w:style>
  <w:style w:type="character" w:styleId="SubtleEmphasis">
    <w:name w:val="Subtle Emphasis"/>
    <w:uiPriority w:val="19"/>
    <w:qFormat/>
    <w:rsid w:val="00D26137"/>
    <w:rPr>
      <w:i/>
      <w:iCs/>
      <w:color w:val="5A5A5A" w:themeColor="text1" w:themeTint="A5"/>
    </w:rPr>
  </w:style>
  <w:style w:type="character" w:styleId="IntenseEmphasis">
    <w:name w:val="Intense Emphasis"/>
    <w:uiPriority w:val="21"/>
    <w:qFormat/>
    <w:rsid w:val="00D26137"/>
    <w:rPr>
      <w:b/>
      <w:bCs/>
      <w:i/>
      <w:iCs/>
      <w:color w:val="F07F09" w:themeColor="accent1"/>
      <w:sz w:val="22"/>
      <w:szCs w:val="22"/>
    </w:rPr>
  </w:style>
  <w:style w:type="character" w:styleId="SubtleReference">
    <w:name w:val="Subtle Reference"/>
    <w:uiPriority w:val="31"/>
    <w:qFormat/>
    <w:rsid w:val="00D26137"/>
    <w:rPr>
      <w:color w:val="auto"/>
      <w:u w:val="single" w:color="1B587C" w:themeColor="accent3"/>
    </w:rPr>
  </w:style>
  <w:style w:type="character" w:styleId="IntenseReference">
    <w:name w:val="Intense Reference"/>
    <w:basedOn w:val="DefaultParagraphFont"/>
    <w:uiPriority w:val="32"/>
    <w:qFormat/>
    <w:rsid w:val="00D26137"/>
    <w:rPr>
      <w:b/>
      <w:bCs/>
      <w:color w:val="14415C" w:themeColor="accent3" w:themeShade="BF"/>
      <w:u w:val="single" w:color="1B587C" w:themeColor="accent3"/>
    </w:rPr>
  </w:style>
  <w:style w:type="character" w:styleId="BookTitle">
    <w:name w:val="Book Title"/>
    <w:basedOn w:val="DefaultParagraphFont"/>
    <w:uiPriority w:val="33"/>
    <w:qFormat/>
    <w:rsid w:val="00D26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6137"/>
    <w:pPr>
      <w:outlineLvl w:val="9"/>
    </w:pPr>
  </w:style>
  <w:style w:type="paragraph" w:styleId="Header">
    <w:name w:val="header"/>
    <w:basedOn w:val="Normal"/>
    <w:link w:val="HeaderChar"/>
    <w:uiPriority w:val="99"/>
    <w:unhideWhenUsed/>
    <w:rsid w:val="00DB4C69"/>
    <w:pPr>
      <w:tabs>
        <w:tab w:val="center" w:pos="4513"/>
        <w:tab w:val="right" w:pos="9026"/>
      </w:tabs>
    </w:pPr>
  </w:style>
  <w:style w:type="character" w:customStyle="1" w:styleId="HeaderChar">
    <w:name w:val="Header Char"/>
    <w:basedOn w:val="DefaultParagraphFont"/>
    <w:link w:val="Header"/>
    <w:uiPriority w:val="99"/>
    <w:rsid w:val="00DB4C69"/>
  </w:style>
  <w:style w:type="paragraph" w:styleId="Footer">
    <w:name w:val="footer"/>
    <w:basedOn w:val="Normal"/>
    <w:link w:val="FooterChar"/>
    <w:uiPriority w:val="99"/>
    <w:unhideWhenUsed/>
    <w:rsid w:val="00DB4C69"/>
    <w:pPr>
      <w:tabs>
        <w:tab w:val="center" w:pos="4513"/>
        <w:tab w:val="right" w:pos="9026"/>
      </w:tabs>
    </w:pPr>
  </w:style>
  <w:style w:type="character" w:customStyle="1" w:styleId="FooterChar">
    <w:name w:val="Footer Char"/>
    <w:basedOn w:val="DefaultParagraphFont"/>
    <w:link w:val="Footer"/>
    <w:uiPriority w:val="99"/>
    <w:rsid w:val="00DB4C69"/>
  </w:style>
  <w:style w:type="paragraph" w:customStyle="1" w:styleId="Pa41">
    <w:name w:val="Pa41"/>
    <w:basedOn w:val="Normal"/>
    <w:next w:val="Normal"/>
    <w:uiPriority w:val="99"/>
    <w:rsid w:val="0024228C"/>
    <w:pPr>
      <w:autoSpaceDE w:val="0"/>
      <w:autoSpaceDN w:val="0"/>
      <w:adjustRightInd w:val="0"/>
      <w:spacing w:line="181" w:lineRule="atLeast"/>
    </w:pPr>
    <w:rPr>
      <w:rFonts w:ascii="Georgia" w:hAnsi="Georgia"/>
      <w:sz w:val="24"/>
      <w:szCs w:val="24"/>
      <w:lang w:val="en-AU" w:bidi="ar-SA"/>
    </w:rPr>
  </w:style>
  <w:style w:type="paragraph" w:customStyle="1" w:styleId="Default">
    <w:name w:val="Default"/>
    <w:rsid w:val="0024228C"/>
    <w:pPr>
      <w:autoSpaceDE w:val="0"/>
      <w:autoSpaceDN w:val="0"/>
      <w:adjustRightInd w:val="0"/>
      <w:ind w:firstLine="0"/>
    </w:pPr>
    <w:rPr>
      <w:rFonts w:ascii="Georgia" w:hAnsi="Georgia" w:cs="Georgia"/>
      <w:color w:val="000000"/>
      <w:sz w:val="24"/>
      <w:szCs w:val="24"/>
      <w:lang w:val="en-AU" w:bidi="ar-SA"/>
    </w:rPr>
  </w:style>
  <w:style w:type="character" w:customStyle="1" w:styleId="A11">
    <w:name w:val="A11"/>
    <w:uiPriority w:val="99"/>
    <w:rsid w:val="0024228C"/>
    <w:rPr>
      <w:rFonts w:cs="MiloOT"/>
      <w:color w:val="000000"/>
      <w:sz w:val="11"/>
      <w:szCs w:val="11"/>
    </w:rPr>
  </w:style>
  <w:style w:type="paragraph" w:customStyle="1" w:styleId="Pa7">
    <w:name w:val="Pa7"/>
    <w:basedOn w:val="Default"/>
    <w:next w:val="Default"/>
    <w:uiPriority w:val="99"/>
    <w:rsid w:val="003316FD"/>
    <w:pPr>
      <w:spacing w:line="201" w:lineRule="atLeast"/>
    </w:pPr>
    <w:rPr>
      <w:rFonts w:ascii="MiloOT" w:hAnsi="MiloOT" w:cstheme="minorBidi"/>
      <w:color w:val="auto"/>
    </w:rPr>
  </w:style>
  <w:style w:type="paragraph" w:customStyle="1" w:styleId="Pa11">
    <w:name w:val="Pa11"/>
    <w:basedOn w:val="Default"/>
    <w:next w:val="Default"/>
    <w:uiPriority w:val="99"/>
    <w:rsid w:val="003316FD"/>
    <w:pPr>
      <w:spacing w:line="201" w:lineRule="atLeast"/>
    </w:pPr>
    <w:rPr>
      <w:rFonts w:ascii="MiloOT" w:hAnsi="MiloOT" w:cstheme="minorBidi"/>
      <w:color w:val="auto"/>
    </w:rPr>
  </w:style>
  <w:style w:type="paragraph" w:customStyle="1" w:styleId="Pa35">
    <w:name w:val="Pa35"/>
    <w:basedOn w:val="Default"/>
    <w:next w:val="Default"/>
    <w:uiPriority w:val="99"/>
    <w:rsid w:val="00366C51"/>
    <w:pPr>
      <w:spacing w:line="221" w:lineRule="atLeast"/>
    </w:pPr>
    <w:rPr>
      <w:rFonts w:ascii="MiloOT-Bold" w:hAnsi="MiloOT-Bold" w:cstheme="minorBidi"/>
      <w:color w:val="auto"/>
    </w:rPr>
  </w:style>
  <w:style w:type="paragraph" w:styleId="BalloonText">
    <w:name w:val="Balloon Text"/>
    <w:basedOn w:val="Normal"/>
    <w:link w:val="BalloonTextChar"/>
    <w:uiPriority w:val="99"/>
    <w:semiHidden/>
    <w:unhideWhenUsed/>
    <w:rsid w:val="00A9430B"/>
    <w:rPr>
      <w:rFonts w:ascii="Tahoma" w:hAnsi="Tahoma" w:cs="Tahoma"/>
      <w:sz w:val="16"/>
      <w:szCs w:val="16"/>
    </w:rPr>
  </w:style>
  <w:style w:type="character" w:customStyle="1" w:styleId="BalloonTextChar">
    <w:name w:val="Balloon Text Char"/>
    <w:basedOn w:val="DefaultParagraphFont"/>
    <w:link w:val="BalloonText"/>
    <w:uiPriority w:val="99"/>
    <w:semiHidden/>
    <w:rsid w:val="00A9430B"/>
    <w:rPr>
      <w:rFonts w:ascii="Tahoma" w:hAnsi="Tahoma" w:cs="Tahoma"/>
      <w:sz w:val="16"/>
      <w:szCs w:val="16"/>
    </w:rPr>
  </w:style>
  <w:style w:type="paragraph" w:customStyle="1" w:styleId="bodytext">
    <w:name w:val="body text"/>
    <w:basedOn w:val="Normal"/>
    <w:link w:val="bodytextChar"/>
    <w:qFormat/>
    <w:rsid w:val="00A9430B"/>
    <w:pPr>
      <w:autoSpaceDE w:val="0"/>
      <w:autoSpaceDN w:val="0"/>
      <w:adjustRightInd w:val="0"/>
    </w:pPr>
    <w:rPr>
      <w:rFonts w:eastAsiaTheme="minorHAnsi" w:cs="Arial"/>
      <w:color w:val="auto"/>
    </w:rPr>
  </w:style>
  <w:style w:type="character" w:customStyle="1" w:styleId="bodytextChar">
    <w:name w:val="body text Char"/>
    <w:basedOn w:val="DefaultParagraphFont"/>
    <w:link w:val="bodytext"/>
    <w:rsid w:val="00A9430B"/>
    <w:rPr>
      <w:rFonts w:cs="Arial"/>
    </w:rPr>
  </w:style>
  <w:style w:type="paragraph" w:customStyle="1" w:styleId="bulletlist">
    <w:name w:val="bullet list"/>
    <w:basedOn w:val="ListParagraph"/>
    <w:link w:val="bulletlistChar"/>
    <w:qFormat/>
    <w:rsid w:val="00B44F27"/>
    <w:pPr>
      <w:numPr>
        <w:numId w:val="12"/>
      </w:numPr>
      <w:ind w:left="714" w:hanging="357"/>
    </w:pPr>
  </w:style>
  <w:style w:type="character" w:customStyle="1" w:styleId="ListParagraphChar">
    <w:name w:val="List Paragraph Char"/>
    <w:basedOn w:val="DefaultParagraphFont"/>
    <w:link w:val="ListParagraph"/>
    <w:uiPriority w:val="34"/>
    <w:rsid w:val="00A9430B"/>
    <w:rPr>
      <w:rFonts w:eastAsiaTheme="majorEastAsia" w:cs="MiloOT"/>
      <w:color w:val="000000"/>
    </w:rPr>
  </w:style>
  <w:style w:type="character" w:customStyle="1" w:styleId="bulletlistChar">
    <w:name w:val="bullet list Char"/>
    <w:basedOn w:val="ListParagraphChar"/>
    <w:link w:val="bulletlist"/>
    <w:rsid w:val="00B44F27"/>
  </w:style>
  <w:style w:type="character" w:styleId="CommentReference">
    <w:name w:val="annotation reference"/>
    <w:basedOn w:val="DefaultParagraphFont"/>
    <w:uiPriority w:val="99"/>
    <w:semiHidden/>
    <w:unhideWhenUsed/>
    <w:rsid w:val="00503819"/>
    <w:rPr>
      <w:sz w:val="16"/>
      <w:szCs w:val="16"/>
    </w:rPr>
  </w:style>
  <w:style w:type="paragraph" w:styleId="CommentText">
    <w:name w:val="annotation text"/>
    <w:basedOn w:val="Normal"/>
    <w:link w:val="CommentTextChar"/>
    <w:uiPriority w:val="99"/>
    <w:semiHidden/>
    <w:unhideWhenUsed/>
    <w:rsid w:val="00503819"/>
    <w:rPr>
      <w:sz w:val="20"/>
      <w:szCs w:val="20"/>
    </w:rPr>
  </w:style>
  <w:style w:type="character" w:customStyle="1" w:styleId="CommentTextChar">
    <w:name w:val="Comment Text Char"/>
    <w:basedOn w:val="DefaultParagraphFont"/>
    <w:link w:val="CommentText"/>
    <w:uiPriority w:val="99"/>
    <w:semiHidden/>
    <w:rsid w:val="00503819"/>
    <w:rPr>
      <w:rFonts w:eastAsiaTheme="majorEastAsia" w:cs="MiloOT"/>
      <w:color w:val="000000"/>
      <w:sz w:val="20"/>
      <w:szCs w:val="20"/>
    </w:rPr>
  </w:style>
  <w:style w:type="paragraph" w:styleId="CommentSubject">
    <w:name w:val="annotation subject"/>
    <w:basedOn w:val="CommentText"/>
    <w:next w:val="CommentText"/>
    <w:link w:val="CommentSubjectChar"/>
    <w:uiPriority w:val="99"/>
    <w:semiHidden/>
    <w:unhideWhenUsed/>
    <w:rsid w:val="00503819"/>
    <w:rPr>
      <w:b/>
      <w:bCs/>
    </w:rPr>
  </w:style>
  <w:style w:type="character" w:customStyle="1" w:styleId="CommentSubjectChar">
    <w:name w:val="Comment Subject Char"/>
    <w:basedOn w:val="CommentTextChar"/>
    <w:link w:val="CommentSubject"/>
    <w:uiPriority w:val="99"/>
    <w:semiHidden/>
    <w:rsid w:val="00503819"/>
    <w:rPr>
      <w:b/>
      <w:bCs/>
    </w:rPr>
  </w:style>
  <w:style w:type="table" w:styleId="TableGrid">
    <w:name w:val="Table Grid"/>
    <w:basedOn w:val="TableNormal"/>
    <w:uiPriority w:val="59"/>
    <w:rsid w:val="00586D6F"/>
    <w:pPr>
      <w:ind w:firstLine="0"/>
    </w:pPr>
    <w:rPr>
      <w:rFonts w:ascii="Arial" w:hAnsi="Arial" w:cs="Arial"/>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904D44"/>
    <w:rPr>
      <w:sz w:val="20"/>
      <w:szCs w:val="20"/>
      <w:lang w:val="en-AU" w:bidi="ar-SA"/>
    </w:rPr>
  </w:style>
  <w:style w:type="character" w:customStyle="1" w:styleId="TabletextChar">
    <w:name w:val="Table text Char"/>
    <w:basedOn w:val="DefaultParagraphFont"/>
    <w:link w:val="Tabletext"/>
    <w:rsid w:val="00904D44"/>
    <w:rPr>
      <w:rFonts w:eastAsiaTheme="majorEastAsia" w:cs="MiloOT"/>
      <w:color w:val="000000"/>
      <w:sz w:val="20"/>
      <w:szCs w:val="20"/>
      <w:lang w:val="en-AU" w:bidi="ar-SA"/>
    </w:rPr>
  </w:style>
  <w:style w:type="character" w:styleId="Hyperlink">
    <w:name w:val="Hyperlink"/>
    <w:basedOn w:val="DefaultParagraphFont"/>
    <w:uiPriority w:val="99"/>
    <w:unhideWhenUsed/>
    <w:rsid w:val="00954D8A"/>
    <w:rPr>
      <w:color w:val="6B9F25"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envcomm.act.gov.au/actsoe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38018-2315-45B0-A52D-2DBBE28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Slade</dc:creator>
  <cp:lastModifiedBy>aileen power</cp:lastModifiedBy>
  <cp:revision>20</cp:revision>
  <dcterms:created xsi:type="dcterms:W3CDTF">2016-02-11T04:54:00Z</dcterms:created>
  <dcterms:modified xsi:type="dcterms:W3CDTF">2016-02-16T03:26:00Z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A11714823</vt:lpwstr>
  </property>
  <property fmtid="{D5CDD505-2E9C-101B-9397-08002B2CF9AE}" pid="4" name="Objective-Title">
    <vt:lpwstr>Water_theme fact sheet 2016</vt:lpwstr>
  </property>
  <property fmtid="{D5CDD505-2E9C-101B-9397-08002B2CF9AE}" pid="5" name="Objective-Comment">
    <vt:lpwstr/>
  </property>
  <property fmtid="{D5CDD505-2E9C-101B-9397-08002B2CF9AE}" pid="6" name="Objective-CreationStamp">
    <vt:filetime>2016-02-10T04:56:13Z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2016-02-16T03:26:35Z</vt:filetime>
  </property>
  <property fmtid="{D5CDD505-2E9C-101B-9397-08002B2CF9AE}" pid="10" name="Objective-ModificationStamp">
    <vt:filetime>2016-02-16T03:42:06Z</vt:filetime>
  </property>
  <property fmtid="{D5CDD505-2E9C-101B-9397-08002B2CF9AE}" pid="11" name="Objective-Owner">
    <vt:lpwstr>Becky Smith</vt:lpwstr>
  </property>
  <property fmtid="{D5CDD505-2E9C-101B-9397-08002B2CF9AE}" pid="12" name="Objective-Path">
    <vt:lpwstr>Whole of ACT Government:OCSE - Office of the Commissioner for Sustainability and the Environment:13 - OCSE - Reporting:State of Environment Reporting:ACT State of Environment Reporting:2015 SoER:2015 ACTSoER:FACT SHEETS:WATER:</vt:lpwstr>
  </property>
  <property fmtid="{D5CDD505-2E9C-101B-9397-08002B2CF9AE}" pid="13" name="Objective-Parent">
    <vt:lpwstr>WATER</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1-2013/15891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OCSE</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