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F4" w:rsidRPr="003E636A" w:rsidRDefault="00A70C36" w:rsidP="003E636A">
      <w:pPr>
        <w:pStyle w:val="Heading1"/>
      </w:pPr>
      <w:r>
        <w:t xml:space="preserve">THE </w:t>
      </w:r>
      <w:r w:rsidR="003E636A" w:rsidRPr="003E636A">
        <w:t>ACT</w:t>
      </w:r>
      <w:r w:rsidR="003E636A">
        <w:t xml:space="preserve"> ECOLOGICAL FOOTPRINT</w:t>
      </w:r>
    </w:p>
    <w:p w:rsidR="00C563E5" w:rsidRPr="00AC46DB" w:rsidRDefault="00C563E5" w:rsidP="00C563E5">
      <w:r>
        <w:t xml:space="preserve">An ecological footprint is a calculation of the amount of land and water required to support </w:t>
      </w:r>
      <w:r w:rsidR="00A70C36">
        <w:t>demand for goods and services</w:t>
      </w:r>
      <w:r w:rsidR="00E03044">
        <w:t xml:space="preserve"> and</w:t>
      </w:r>
      <w:r w:rsidR="00A70C36">
        <w:t xml:space="preserve"> </w:t>
      </w:r>
      <w:r>
        <w:t>our use of resources</w:t>
      </w:r>
      <w:r w:rsidR="00E03044">
        <w:t xml:space="preserve">. </w:t>
      </w:r>
      <w:r w:rsidR="00E03044" w:rsidRPr="00133A26">
        <w:t>It also takes into account the area needed to absorb our waste (including greenhouse gasses).</w:t>
      </w:r>
      <w:r w:rsidR="00E03044">
        <w:t xml:space="preserve">  The ecological footprint</w:t>
      </w:r>
      <w:r>
        <w:t xml:space="preserve"> provides a calculated measure of the extent of human impact on the earth, </w:t>
      </w:r>
      <w:r w:rsidR="00652DA3">
        <w:t>determine</w:t>
      </w:r>
      <w:r w:rsidR="000B22B4">
        <w:t>s</w:t>
      </w:r>
      <w:r w:rsidR="00652DA3">
        <w:t xml:space="preserve"> our relative consumption of global resources, and help</w:t>
      </w:r>
      <w:r w:rsidR="000B22B4">
        <w:t>s</w:t>
      </w:r>
      <w:r>
        <w:t xml:space="preserve"> us understand the link between our lifestyles and the environment</w:t>
      </w:r>
      <w:r w:rsidR="00652DA3">
        <w:t>; providing</w:t>
      </w:r>
      <w:r>
        <w:t xml:space="preserve"> us with a means by which to assess </w:t>
      </w:r>
      <w:r w:rsidRPr="00AC46DB">
        <w:t xml:space="preserve">the sustainability of our lifestyle.  </w:t>
      </w:r>
    </w:p>
    <w:p w:rsidR="00193A67" w:rsidRDefault="003E636A" w:rsidP="003E636A">
      <w:pPr>
        <w:pStyle w:val="Heading2"/>
      </w:pPr>
      <w:r>
        <w:t xml:space="preserve">Measuring </w:t>
      </w:r>
      <w:r w:rsidR="0011665F">
        <w:t xml:space="preserve">the </w:t>
      </w:r>
      <w:r>
        <w:t>ecological footprint of the ACT</w:t>
      </w:r>
    </w:p>
    <w:p w:rsidR="0011665F" w:rsidRPr="003E636A" w:rsidRDefault="0084472C" w:rsidP="001C26ED">
      <w:r>
        <w:t>S</w:t>
      </w:r>
      <w:r w:rsidRPr="003E636A">
        <w:t>ince</w:t>
      </w:r>
      <w:r>
        <w:t xml:space="preserve"> </w:t>
      </w:r>
      <w:r w:rsidRPr="003E636A">
        <w:t>1997</w:t>
      </w:r>
      <w:r w:rsidR="009A05F1">
        <w:t xml:space="preserve"> </w:t>
      </w:r>
      <w:r w:rsidR="006B2FE7">
        <w:t xml:space="preserve">ACT </w:t>
      </w:r>
      <w:r w:rsidR="00C47A68" w:rsidRPr="00C47A68">
        <w:t>ecological footprint</w:t>
      </w:r>
      <w:r w:rsidR="006B2FE7">
        <w:t xml:space="preserve"> reports</w:t>
      </w:r>
      <w:r w:rsidR="00CF6C7B">
        <w:t xml:space="preserve"> </w:t>
      </w:r>
      <w:r w:rsidR="006B2FE7">
        <w:t>have</w:t>
      </w:r>
      <w:r w:rsidR="00737A99">
        <w:t xml:space="preserve"> </w:t>
      </w:r>
      <w:r w:rsidR="00526E0E">
        <w:t xml:space="preserve">accompanied </w:t>
      </w:r>
      <w:r w:rsidR="006B2FE7">
        <w:t>our</w:t>
      </w:r>
      <w:r w:rsidR="003E636A" w:rsidRPr="003E636A">
        <w:t xml:space="preserve"> State of the Environment Reports</w:t>
      </w:r>
      <w:r w:rsidR="00526E0E">
        <w:t xml:space="preserve"> </w:t>
      </w:r>
      <w:r w:rsidR="006B2FE7">
        <w:t>(see</w:t>
      </w:r>
      <w:r w:rsidR="00C563E5">
        <w:t xml:space="preserve"> </w:t>
      </w:r>
      <w:r w:rsidR="00C563E5" w:rsidRPr="002B14E9">
        <w:t>http://www.e</w:t>
      </w:r>
      <w:r w:rsidR="00C563E5">
        <w:t>nvcomm.act.gov.au/ecolog</w:t>
      </w:r>
      <w:r w:rsidR="00C563E5" w:rsidRPr="002B14E9">
        <w:t>ical-footprints</w:t>
      </w:r>
      <w:r w:rsidR="006B2FE7">
        <w:t>)</w:t>
      </w:r>
      <w:r w:rsidR="00C563E5">
        <w:t xml:space="preserve">. </w:t>
      </w:r>
      <w:r w:rsidR="003E636A" w:rsidRPr="003E636A">
        <w:t xml:space="preserve">The </w:t>
      </w:r>
      <w:r w:rsidR="001C26ED">
        <w:t xml:space="preserve">most recent </w:t>
      </w:r>
      <w:r w:rsidR="00526E0E">
        <w:t>r</w:t>
      </w:r>
      <w:r w:rsidR="001C26ED">
        <w:t xml:space="preserve">eport </w:t>
      </w:r>
      <w:r w:rsidR="003E636A" w:rsidRPr="003E636A">
        <w:t xml:space="preserve">was prepared </w:t>
      </w:r>
      <w:r w:rsidR="00C563E5">
        <w:t>for</w:t>
      </w:r>
      <w:r w:rsidR="00C563E5" w:rsidRPr="003E636A">
        <w:t xml:space="preserve"> the </w:t>
      </w:r>
      <w:r w:rsidR="00C47A68" w:rsidRPr="00C47A68">
        <w:rPr>
          <w:i/>
        </w:rPr>
        <w:t>ACT State of the Environment Report 2015</w:t>
      </w:r>
      <w:r w:rsidR="00C563E5" w:rsidRPr="003E636A">
        <w:t xml:space="preserve"> </w:t>
      </w:r>
      <w:r w:rsidR="003E636A" w:rsidRPr="003E636A">
        <w:t>by Dr Chris Dey</w:t>
      </w:r>
      <w:r w:rsidR="006B2FE7">
        <w:t xml:space="preserve">, </w:t>
      </w:r>
      <w:r w:rsidR="00C47A68" w:rsidRPr="00C47A68">
        <w:rPr>
          <w:i/>
        </w:rPr>
        <w:t>Integrated Sustainability Analysis</w:t>
      </w:r>
      <w:r w:rsidR="006B2FE7">
        <w:rPr>
          <w:i/>
        </w:rPr>
        <w:t xml:space="preserve"> </w:t>
      </w:r>
      <w:r w:rsidR="006B2FE7" w:rsidRPr="006B2FE7">
        <w:rPr>
          <w:i/>
        </w:rPr>
        <w:t>(</w:t>
      </w:r>
      <w:r w:rsidR="00C47A68" w:rsidRPr="00C47A68">
        <w:rPr>
          <w:i/>
        </w:rPr>
        <w:t xml:space="preserve">ISA) </w:t>
      </w:r>
      <w:r w:rsidR="006B2FE7">
        <w:t>r</w:t>
      </w:r>
      <w:r w:rsidR="00C563E5" w:rsidRPr="006B2FE7">
        <w:t xml:space="preserve">esearch </w:t>
      </w:r>
      <w:r w:rsidR="006B2FE7">
        <w:t>g</w:t>
      </w:r>
      <w:r w:rsidR="00C563E5" w:rsidRPr="006B2FE7">
        <w:t>roup</w:t>
      </w:r>
      <w:r w:rsidR="006B2FE7">
        <w:t>, University of Sydney.</w:t>
      </w:r>
      <w:r w:rsidR="00C563E5">
        <w:t xml:space="preserve"> </w:t>
      </w:r>
    </w:p>
    <w:p w:rsidR="00FC73F4" w:rsidRDefault="00C563E5">
      <w:pPr>
        <w:pStyle w:val="Heading2"/>
      </w:pPr>
      <w:r w:rsidRPr="003E636A">
        <w:t xml:space="preserve">How </w:t>
      </w:r>
      <w:r w:rsidR="00D45F25">
        <w:t>was the</w:t>
      </w:r>
      <w:r w:rsidRPr="003E636A">
        <w:t xml:space="preserve"> assessment</w:t>
      </w:r>
      <w:r w:rsidR="00D45F25">
        <w:t xml:space="preserve"> made</w:t>
      </w:r>
      <w:r w:rsidR="00295A13">
        <w:t>?</w:t>
      </w:r>
    </w:p>
    <w:p w:rsidR="009A1471" w:rsidRPr="00BF6822" w:rsidRDefault="006B2FE7" w:rsidP="006B2FE7">
      <w:r>
        <w:t xml:space="preserve">The ISA </w:t>
      </w:r>
      <w:r w:rsidRPr="00BF6822">
        <w:t>has assembled a framework for calculating Ecological Footprints tailored to Australian conditions. This framework employs the most detailed and comprehensive information on land disturbance and greenhouse gas emissions available in Australia today, using the Australian Bureau of Statistics’ (ABS) comprehens</w:t>
      </w:r>
      <w:r>
        <w:t xml:space="preserve">ive input-output </w:t>
      </w:r>
      <w:proofErr w:type="gramStart"/>
      <w:r w:rsidRPr="00BF6822">
        <w:t>tables,</w:t>
      </w:r>
      <w:proofErr w:type="gramEnd"/>
      <w:r w:rsidRPr="00BF6822">
        <w:t xml:space="preserve"> and the CSIRO’s satellite-image-based assessment of land disturbance over the Australian continent. The assessment offered by ISA guarantees full coverage of all upstream impacts on land and emissions, and is therefore the only complete Ecological Footprint assessment to date. </w:t>
      </w:r>
      <w:r>
        <w:t>This ecological f</w:t>
      </w:r>
      <w:r w:rsidRPr="00BF6822">
        <w:t>ootprint analysis of the ACT cover</w:t>
      </w:r>
      <w:r>
        <w:t>s</w:t>
      </w:r>
      <w:r w:rsidRPr="00BF6822">
        <w:t xml:space="preserve"> the financial year 2011-12 and meet</w:t>
      </w:r>
      <w:r>
        <w:t>s</w:t>
      </w:r>
      <w:r w:rsidRPr="00BF6822">
        <w:t xml:space="preserve"> international standards in Ecological </w:t>
      </w:r>
      <w:proofErr w:type="spellStart"/>
      <w:r w:rsidRPr="00BF6822">
        <w:t>Footprinting</w:t>
      </w:r>
      <w:proofErr w:type="spellEnd"/>
      <w:r w:rsidRPr="00BF6822">
        <w:t>.</w:t>
      </w:r>
    </w:p>
    <w:p w:rsidR="001E3369" w:rsidRPr="00A70C36" w:rsidRDefault="001E3369" w:rsidP="001E3369">
      <w:pPr>
        <w:pStyle w:val="Heading4"/>
      </w:pPr>
      <w:r w:rsidRPr="00A70C36">
        <w:t>MAIN FINDINGS</w:t>
      </w:r>
    </w:p>
    <w:p w:rsidR="00FC73F4" w:rsidRDefault="00976F59">
      <w:r>
        <w:rPr>
          <w:noProof/>
          <w:lang w:val="en-AU" w:bidi="ar-SA"/>
        </w:rPr>
        <w:pict>
          <v:shapetype id="_x0000_t202" coordsize="21600,21600" o:spt="202" path="m,l,21600r21600,l21600,xe">
            <v:stroke joinstyle="miter"/>
            <v:path gradientshapeok="t" o:connecttype="rect"/>
          </v:shapetype>
          <v:shape id="_x0000_s1034" type="#_x0000_t202" style="position:absolute;margin-left:2.05pt;margin-top:84.3pt;width:448.95pt;height:203.9pt;z-index:-251658240" wrapcoords="-36 0 -36 21517 21600 21517 21600 0 -36 0" stroked="f">
            <v:textbox style="mso-next-textbox:#_x0000_s1034">
              <w:txbxContent>
                <w:p w:rsidR="00E00967" w:rsidRDefault="00E00967" w:rsidP="009A1471">
                  <w:pPr>
                    <w:keepNext/>
                    <w:jc w:val="center"/>
                  </w:pPr>
                  <w:r>
                    <w:rPr>
                      <w:noProof/>
                      <w:lang w:val="en-AU" w:bidi="ar-SA"/>
                    </w:rPr>
                    <w:drawing>
                      <wp:inline distT="0" distB="0" distL="0" distR="0">
                        <wp:extent cx="4156135" cy="1975449"/>
                        <wp:effectExtent l="19050" t="0" r="15815" b="5751"/>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00967" w:rsidRPr="00432458" w:rsidRDefault="00E00967" w:rsidP="009A1471">
                  <w:pPr>
                    <w:pStyle w:val="Caption"/>
                    <w:jc w:val="center"/>
                  </w:pPr>
                  <w:r w:rsidRPr="007C711C">
                    <w:t>Figure 1:</w:t>
                  </w:r>
                  <w:r w:rsidR="0083381B" w:rsidRPr="007C711C">
                    <w:t xml:space="preserve"> </w:t>
                  </w:r>
                  <w:r w:rsidRPr="007C711C">
                    <w:t>ACT</w:t>
                  </w:r>
                  <w:r w:rsidRPr="00432458">
                    <w:t xml:space="preserve"> Ecological footprint per person by consumption category 1998-99 to 2011-12</w:t>
                  </w:r>
                </w:p>
                <w:p w:rsidR="00E00967" w:rsidRDefault="00E00967" w:rsidP="009A1471">
                  <w:pPr>
                    <w:jc w:val="center"/>
                  </w:pPr>
                </w:p>
              </w:txbxContent>
            </v:textbox>
            <w10:wrap type="tight"/>
          </v:shape>
        </w:pict>
      </w:r>
      <w:r w:rsidR="00215EEB">
        <w:t xml:space="preserve">The main determinant of an ecological footprint is usually the level of household consumption. According to Dr </w:t>
      </w:r>
      <w:proofErr w:type="spellStart"/>
      <w:r w:rsidR="00215EEB">
        <w:t>Dey’s</w:t>
      </w:r>
      <w:proofErr w:type="spellEnd"/>
      <w:r w:rsidR="00215EEB">
        <w:t xml:space="preserve"> analysis consumption grew more slowly in Australia in the aftermath of the 2008 global financial crisis owing to slowing of increases in household incomes and higher household saving rates</w:t>
      </w:r>
      <w:r w:rsidR="009A1471">
        <w:t>.</w:t>
      </w:r>
      <w:r w:rsidR="00432458">
        <w:t xml:space="preserve"> Our ecological footprint can be examined from a number of different perspectives; Figure 1 presents our footprint by consumption category, showing that Canberrans ‘spend’ their footprint predominantly in Services and Food.</w:t>
      </w:r>
    </w:p>
    <w:p w:rsidR="009A1471" w:rsidRDefault="009A1471"/>
    <w:p w:rsidR="00197C4D" w:rsidRDefault="00215EEB" w:rsidP="009A1471">
      <w:r>
        <w:t xml:space="preserve">Our ecological footprint can also be broken down to show the types of productive land that are used to absorb our environmental impacts. Some impacts can be seen and measured locally, such as the land we cover with our buildings and roads and the garbage we send to landfill. But most of our impacts occur outside the ACT through the production of goods and services that we consume here and the land needed for vegetation to absorb our carbon dioxide emissions </w:t>
      </w:r>
      <w:r w:rsidR="009A1471" w:rsidRPr="009A1471">
        <w:t xml:space="preserve">(Figure </w:t>
      </w:r>
      <w:r w:rsidR="0083381B">
        <w:t>2</w:t>
      </w:r>
      <w:r w:rsidRPr="009A1471">
        <w:t>).</w:t>
      </w:r>
      <w:r>
        <w:t xml:space="preserve"> </w:t>
      </w:r>
    </w:p>
    <w:p w:rsidR="00C563E5" w:rsidRDefault="00976F59" w:rsidP="007C711C">
      <w:r>
        <w:pict>
          <v:shape id="_x0000_s1035" type="#_x0000_t202" style="width:426.55pt;height:201.05pt;mso-position-horizontal-relative:char;mso-position-vertical-relative:line" wrapcoords="-39 0 -39 21496 21600 21496 21600 0 -39 0" stroked="f">
            <v:textbox style="mso-next-textbox:#_x0000_s1035">
              <w:txbxContent>
                <w:p w:rsidR="007C711C" w:rsidRDefault="007C711C" w:rsidP="007C711C">
                  <w:pPr>
                    <w:jc w:val="right"/>
                  </w:pPr>
                  <w:r>
                    <w:rPr>
                      <w:noProof/>
                      <w:lang w:val="en-AU" w:bidi="ar-SA"/>
                    </w:rPr>
                    <w:drawing>
                      <wp:inline distT="0" distB="0" distL="0" distR="0">
                        <wp:extent cx="5153361" cy="1794294"/>
                        <wp:effectExtent l="19050" t="0" r="2823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711C" w:rsidRPr="00197C4D" w:rsidRDefault="007C711C" w:rsidP="007C711C">
                  <w:pPr>
                    <w:rPr>
                      <w:b/>
                      <w:sz w:val="18"/>
                    </w:rPr>
                  </w:pPr>
                  <w:r w:rsidRPr="007C711C">
                    <w:rPr>
                      <w:b/>
                      <w:sz w:val="18"/>
                    </w:rPr>
                    <w:t>Figure2:</w:t>
                  </w:r>
                  <w:r w:rsidRPr="00197C4D">
                    <w:rPr>
                      <w:b/>
                      <w:sz w:val="18"/>
                    </w:rPr>
                    <w:t xml:space="preserve"> ACT Ecological footprint per person 2003-04 to 2011-12 compared to Australian footprint 2011-12, by land type</w:t>
                  </w:r>
                </w:p>
                <w:p w:rsidR="007C711C" w:rsidRDefault="007C711C" w:rsidP="007C711C">
                  <w:pPr>
                    <w:jc w:val="right"/>
                  </w:pPr>
                </w:p>
              </w:txbxContent>
            </v:textbox>
            <w10:wrap type="none"/>
            <w10:anchorlock/>
          </v:shape>
        </w:pict>
      </w:r>
    </w:p>
    <w:p w:rsidR="007C711C" w:rsidRDefault="007C711C" w:rsidP="007C711C">
      <w:pPr>
        <w:pStyle w:val="bulletlist"/>
        <w:numPr>
          <w:ilvl w:val="0"/>
          <w:numId w:val="0"/>
        </w:numPr>
      </w:pPr>
      <w:r>
        <w:t>At a finer scale, we can observe the composition of our ecological footprint in the below analysis of the top 300 commodities consumed by Canberrans. The</w:t>
      </w:r>
      <w:r w:rsidRPr="007C711C">
        <w:t xml:space="preserve"> first twenty-five out of the 300 commodities account for two thirds (67%) of the total Ecological Footprint</w:t>
      </w:r>
      <w:r>
        <w:t>, which are displayed in Table 1 below.</w:t>
      </w:r>
    </w:p>
    <w:tbl>
      <w:tblPr>
        <w:tblStyle w:val="LightShading-Accent31"/>
        <w:tblW w:w="0" w:type="auto"/>
        <w:tblLook w:val="04A0"/>
      </w:tblPr>
      <w:tblGrid>
        <w:gridCol w:w="683"/>
        <w:gridCol w:w="4814"/>
        <w:gridCol w:w="2126"/>
        <w:gridCol w:w="1357"/>
      </w:tblGrid>
      <w:tr w:rsidR="007C711C" w:rsidRPr="007C711C" w:rsidTr="00853902">
        <w:trPr>
          <w:cnfStyle w:val="1000000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Rank</w:t>
            </w:r>
          </w:p>
        </w:tc>
        <w:tc>
          <w:tcPr>
            <w:tcW w:w="4814" w:type="dxa"/>
          </w:tcPr>
          <w:p w:rsidR="007C711C" w:rsidRPr="007C711C" w:rsidRDefault="007C711C" w:rsidP="007C711C">
            <w:pPr>
              <w:spacing w:before="0" w:after="0"/>
              <w:cnfStyle w:val="100000000000"/>
              <w:rPr>
                <w:color w:val="000000"/>
                <w:lang w:val="en-GB" w:eastAsia="ja-JP"/>
              </w:rPr>
            </w:pPr>
            <w:r w:rsidRPr="007C711C">
              <w:rPr>
                <w:color w:val="000000"/>
                <w:lang w:val="en-GB" w:eastAsia="ja-JP"/>
              </w:rPr>
              <w:t>Commodity</w:t>
            </w:r>
          </w:p>
        </w:tc>
        <w:tc>
          <w:tcPr>
            <w:tcW w:w="2126" w:type="dxa"/>
          </w:tcPr>
          <w:p w:rsidR="007C711C" w:rsidRPr="007C711C" w:rsidRDefault="007C711C" w:rsidP="007C711C">
            <w:pPr>
              <w:spacing w:before="0" w:after="0"/>
              <w:jc w:val="center"/>
              <w:cnfStyle w:val="100000000000"/>
              <w:rPr>
                <w:color w:val="000000"/>
                <w:lang w:val="en-GB" w:eastAsia="ja-JP"/>
              </w:rPr>
            </w:pPr>
            <w:r w:rsidRPr="007C711C">
              <w:rPr>
                <w:color w:val="000000"/>
                <w:lang w:val="en-GB" w:eastAsia="ja-JP"/>
              </w:rPr>
              <w:t>Impact (</w:t>
            </w:r>
            <w:proofErr w:type="spellStart"/>
            <w:r w:rsidRPr="007C711C">
              <w:rPr>
                <w:color w:val="000000"/>
                <w:lang w:val="en-GB" w:eastAsia="ja-JP"/>
              </w:rPr>
              <w:t>gha</w:t>
            </w:r>
            <w:proofErr w:type="spellEnd"/>
            <w:r w:rsidRPr="007C711C">
              <w:rPr>
                <w:color w:val="000000"/>
                <w:lang w:val="en-GB" w:eastAsia="ja-JP"/>
              </w:rPr>
              <w:t>/capita)</w:t>
            </w:r>
          </w:p>
        </w:tc>
        <w:tc>
          <w:tcPr>
            <w:tcW w:w="1357" w:type="dxa"/>
          </w:tcPr>
          <w:p w:rsidR="007C711C" w:rsidRPr="007C711C" w:rsidRDefault="007C711C" w:rsidP="007C711C">
            <w:pPr>
              <w:spacing w:before="0" w:after="0"/>
              <w:jc w:val="center"/>
              <w:cnfStyle w:val="100000000000"/>
              <w:rPr>
                <w:color w:val="000000"/>
                <w:lang w:val="en-GB" w:eastAsia="ja-JP"/>
              </w:rPr>
            </w:pPr>
            <w:r w:rsidRPr="007C711C">
              <w:rPr>
                <w:color w:val="000000"/>
                <w:lang w:val="en-GB" w:eastAsia="ja-JP"/>
              </w:rPr>
              <w:t>% of Total</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Electricity supply</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1.01</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12%</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Hotels, clubs, restaurants and cafes</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0.46</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6%</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3</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Petrol</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0.41</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5%</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4</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Gas supply</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0.33</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4%</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5</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Air and space transport</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0.31</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4%</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6</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Other food products</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0.23</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3%</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7</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Ownership of dwellings</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0.22</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3%</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8</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Beer and malt</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0.19</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2%</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9</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Clothing</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0.19</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2%</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10</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Wooden furniture</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0.18</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2%</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11</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Finished cars</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0.18</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2%</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12</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Beef cattle</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0.17</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2%</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13</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Education</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0.16</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2%</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14</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Non-building construction</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0.14</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2%</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15</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Non-residential building construction</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0.14</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2%</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16</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Electronic equipment</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0.13</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2%</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17</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 xml:space="preserve">Recorded media and publishing </w:t>
            </w:r>
            <w:proofErr w:type="spellStart"/>
            <w:r w:rsidRPr="007C711C">
              <w:rPr>
                <w:color w:val="000000"/>
                <w:lang w:val="en-GB" w:eastAsia="ja-JP"/>
              </w:rPr>
              <w:t>nec</w:t>
            </w:r>
            <w:proofErr w:type="spellEnd"/>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0.12</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2%</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18</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Wheat</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0.12</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1%</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19</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Joinery products</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0.12</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1%</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20</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 xml:space="preserve">Meat products </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0.12</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1%</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21</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Community services and religious organisations</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0.12</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1%</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22</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Accommodation</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0.11</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1%</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23</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Cakes</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0.11</w:t>
            </w:r>
          </w:p>
        </w:tc>
        <w:tc>
          <w:tcPr>
            <w:tcW w:w="1357"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1%</w:t>
            </w:r>
          </w:p>
        </w:tc>
      </w:tr>
      <w:tr w:rsidR="007C711C" w:rsidRPr="007C711C" w:rsidTr="00853902">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24</w:t>
            </w:r>
          </w:p>
        </w:tc>
        <w:tc>
          <w:tcPr>
            <w:tcW w:w="4814" w:type="dxa"/>
          </w:tcPr>
          <w:p w:rsidR="007C711C" w:rsidRPr="007C711C" w:rsidRDefault="007C711C" w:rsidP="007C711C">
            <w:pPr>
              <w:spacing w:before="0" w:after="0"/>
              <w:cnfStyle w:val="000000000000"/>
              <w:rPr>
                <w:color w:val="000000"/>
                <w:lang w:val="en-GB" w:eastAsia="ja-JP"/>
              </w:rPr>
            </w:pPr>
            <w:r w:rsidRPr="007C711C">
              <w:rPr>
                <w:color w:val="000000"/>
                <w:lang w:val="en-GB" w:eastAsia="ja-JP"/>
              </w:rPr>
              <w:t>Federal government</w:t>
            </w:r>
          </w:p>
        </w:tc>
        <w:tc>
          <w:tcPr>
            <w:tcW w:w="2126"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0.10</w:t>
            </w:r>
          </w:p>
        </w:tc>
        <w:tc>
          <w:tcPr>
            <w:tcW w:w="1357" w:type="dxa"/>
          </w:tcPr>
          <w:p w:rsidR="007C711C" w:rsidRPr="007C711C" w:rsidRDefault="007C711C" w:rsidP="007C711C">
            <w:pPr>
              <w:spacing w:before="0" w:after="0"/>
              <w:jc w:val="center"/>
              <w:cnfStyle w:val="000000000000"/>
              <w:rPr>
                <w:color w:val="000000"/>
                <w:lang w:val="en-GB" w:eastAsia="ja-JP"/>
              </w:rPr>
            </w:pPr>
            <w:r w:rsidRPr="007C711C">
              <w:rPr>
                <w:color w:val="000000"/>
                <w:lang w:val="en-GB" w:eastAsia="ja-JP"/>
              </w:rPr>
              <w:t>1%</w:t>
            </w:r>
          </w:p>
        </w:tc>
      </w:tr>
      <w:tr w:rsidR="007C711C" w:rsidRPr="007C711C" w:rsidTr="00853902">
        <w:trPr>
          <w:cnfStyle w:val="000000100000"/>
        </w:trPr>
        <w:tc>
          <w:tcPr>
            <w:cnfStyle w:val="001000000000"/>
            <w:tcW w:w="681" w:type="dxa"/>
          </w:tcPr>
          <w:p w:rsidR="007C711C" w:rsidRPr="007C711C" w:rsidRDefault="007C711C" w:rsidP="007C711C">
            <w:pPr>
              <w:spacing w:before="0" w:after="0"/>
              <w:jc w:val="center"/>
              <w:rPr>
                <w:color w:val="000000"/>
                <w:lang w:val="en-GB" w:eastAsia="ja-JP"/>
              </w:rPr>
            </w:pPr>
            <w:r w:rsidRPr="007C711C">
              <w:rPr>
                <w:color w:val="000000"/>
                <w:lang w:val="en-GB" w:eastAsia="ja-JP"/>
              </w:rPr>
              <w:t>25</w:t>
            </w:r>
          </w:p>
        </w:tc>
        <w:tc>
          <w:tcPr>
            <w:tcW w:w="4814" w:type="dxa"/>
          </w:tcPr>
          <w:p w:rsidR="007C711C" w:rsidRPr="007C711C" w:rsidRDefault="007C711C" w:rsidP="007C711C">
            <w:pPr>
              <w:spacing w:before="0" w:after="0"/>
              <w:cnfStyle w:val="000000100000"/>
              <w:rPr>
                <w:color w:val="000000"/>
                <w:lang w:val="en-GB" w:eastAsia="ja-JP"/>
              </w:rPr>
            </w:pPr>
            <w:r w:rsidRPr="007C711C">
              <w:rPr>
                <w:color w:val="000000"/>
                <w:lang w:val="en-GB" w:eastAsia="ja-JP"/>
              </w:rPr>
              <w:t>Fresh meat</w:t>
            </w:r>
          </w:p>
        </w:tc>
        <w:tc>
          <w:tcPr>
            <w:tcW w:w="2126" w:type="dxa"/>
          </w:tcPr>
          <w:p w:rsidR="007C711C" w:rsidRPr="007C711C" w:rsidRDefault="007C711C" w:rsidP="007C711C">
            <w:pPr>
              <w:spacing w:before="0" w:after="0"/>
              <w:jc w:val="center"/>
              <w:cnfStyle w:val="000000100000"/>
              <w:rPr>
                <w:color w:val="000000"/>
                <w:lang w:val="en-GB" w:eastAsia="ja-JP"/>
              </w:rPr>
            </w:pPr>
            <w:r w:rsidRPr="007C711C">
              <w:rPr>
                <w:color w:val="000000"/>
                <w:lang w:val="en-GB" w:eastAsia="ja-JP"/>
              </w:rPr>
              <w:t>0.09</w:t>
            </w:r>
          </w:p>
        </w:tc>
        <w:tc>
          <w:tcPr>
            <w:tcW w:w="1357" w:type="dxa"/>
          </w:tcPr>
          <w:p w:rsidR="007C711C" w:rsidRPr="007C711C" w:rsidRDefault="007C711C" w:rsidP="007C711C">
            <w:pPr>
              <w:keepNext/>
              <w:spacing w:before="0" w:after="0"/>
              <w:jc w:val="center"/>
              <w:cnfStyle w:val="000000100000"/>
              <w:rPr>
                <w:color w:val="000000"/>
                <w:lang w:val="en-GB" w:eastAsia="ja-JP"/>
              </w:rPr>
            </w:pPr>
            <w:r w:rsidRPr="007C711C">
              <w:rPr>
                <w:color w:val="000000"/>
                <w:lang w:val="en-GB" w:eastAsia="ja-JP"/>
              </w:rPr>
              <w:t>1%</w:t>
            </w:r>
          </w:p>
        </w:tc>
      </w:tr>
    </w:tbl>
    <w:p w:rsidR="007C711C" w:rsidRDefault="007C711C" w:rsidP="007C711C">
      <w:pPr>
        <w:pStyle w:val="Caption"/>
      </w:pPr>
      <w:proofErr w:type="gramStart"/>
      <w:r>
        <w:t xml:space="preserve">Table </w:t>
      </w:r>
      <w:fldSimple w:instr=" SEQ Table \* ARABIC ">
        <w:r>
          <w:rPr>
            <w:noProof/>
          </w:rPr>
          <w:t>1</w:t>
        </w:r>
      </w:fldSimple>
      <w:r>
        <w:t xml:space="preserve">: </w:t>
      </w:r>
      <w:r w:rsidRPr="004E090F">
        <w:t>Top 25 commodities in terms of per-capita Ecological Footprint in the ACT in 2011-12.</w:t>
      </w:r>
      <w:proofErr w:type="gramEnd"/>
    </w:p>
    <w:p w:rsidR="007C711C" w:rsidRDefault="007C711C" w:rsidP="007C711C">
      <w:r>
        <w:lastRenderedPageBreak/>
        <w:t xml:space="preserve">Key results of the 2011-12 Report were that the average </w:t>
      </w:r>
      <w:r w:rsidRPr="001F7A70">
        <w:t>ecological footprint</w:t>
      </w:r>
      <w:r>
        <w:t xml:space="preserve"> of Canberrans</w:t>
      </w:r>
      <w:r w:rsidRPr="001F7A70">
        <w:t xml:space="preserve"> was 8.9 global hectares per person (</w:t>
      </w:r>
      <w:proofErr w:type="spellStart"/>
      <w:r w:rsidRPr="001F7A70">
        <w:t>gha</w:t>
      </w:r>
      <w:proofErr w:type="spellEnd"/>
      <w:r w:rsidRPr="001F7A70">
        <w:t xml:space="preserve">/person) and: </w:t>
      </w:r>
    </w:p>
    <w:p w:rsidR="007C711C" w:rsidRPr="003E636A" w:rsidRDefault="007C711C" w:rsidP="007C711C">
      <w:pPr>
        <w:pStyle w:val="bulletlist"/>
      </w:pPr>
      <w:r w:rsidRPr="003E636A">
        <w:t xml:space="preserve">about three and a half times the global per person average </w:t>
      </w:r>
    </w:p>
    <w:p w:rsidR="007C711C" w:rsidRPr="003E636A" w:rsidRDefault="007C711C" w:rsidP="007C711C">
      <w:pPr>
        <w:pStyle w:val="bulletlist"/>
      </w:pPr>
      <w:r w:rsidRPr="003E636A">
        <w:t xml:space="preserve">above the average per person ecological footprint of other Australians (8.2 </w:t>
      </w:r>
      <w:proofErr w:type="spellStart"/>
      <w:r w:rsidRPr="003E636A">
        <w:t>gha</w:t>
      </w:r>
      <w:proofErr w:type="spellEnd"/>
      <w:r w:rsidRPr="003E636A">
        <w:t>/person)</w:t>
      </w:r>
    </w:p>
    <w:p w:rsidR="007C711C" w:rsidRPr="007C711C" w:rsidRDefault="007C711C" w:rsidP="009E5AC8">
      <w:pPr>
        <w:pStyle w:val="bulletlist"/>
      </w:pPr>
      <w:proofErr w:type="gramStart"/>
      <w:r w:rsidRPr="003E636A">
        <w:t>slightly</w:t>
      </w:r>
      <w:proofErr w:type="gramEnd"/>
      <w:r w:rsidRPr="003E636A">
        <w:t xml:space="preserve"> lower than the ACT footprint measured in 2008-09 (9.2 </w:t>
      </w:r>
      <w:proofErr w:type="spellStart"/>
      <w:r w:rsidRPr="003E636A">
        <w:t>gha</w:t>
      </w:r>
      <w:proofErr w:type="spellEnd"/>
      <w:r w:rsidRPr="003E636A">
        <w:t>/person, perhaps as a result of the Global Financial Crisis in 2008</w:t>
      </w:r>
      <w:r w:rsidR="000B22B4">
        <w:t>).</w:t>
      </w:r>
    </w:p>
    <w:p w:rsidR="0011665F" w:rsidRPr="0011665F" w:rsidRDefault="00C563E5" w:rsidP="003E636A">
      <w:r w:rsidRPr="003E636A">
        <w:t>In short, Canberrans impact the global environment more than people in most places on earth. Although our footprint per person has moderated very slightly since the last report, our total footprint is about 14 times the land area of the ACT.</w:t>
      </w:r>
      <w:r w:rsidR="00A70C36">
        <w:t xml:space="preserve"> </w:t>
      </w:r>
      <w:r w:rsidR="00E03044">
        <w:t>Despite the</w:t>
      </w:r>
      <w:r w:rsidR="00A70C36">
        <w:t xml:space="preserve"> marginal reduction in the overall footprint from </w:t>
      </w:r>
      <w:r w:rsidR="00E03044">
        <w:t xml:space="preserve">2008-09 </w:t>
      </w:r>
      <w:r w:rsidRPr="003E636A">
        <w:t>this most recent</w:t>
      </w:r>
      <w:r w:rsidR="00E03044">
        <w:t xml:space="preserve"> report </w:t>
      </w:r>
      <w:r w:rsidRPr="003E636A">
        <w:t>indicate</w:t>
      </w:r>
      <w:r w:rsidR="00A70C36">
        <w:t>s</w:t>
      </w:r>
      <w:r w:rsidRPr="003E636A">
        <w:t xml:space="preserve"> a continuing trend of increasing impact on our ecological systems and their capacity to sustain us. </w:t>
      </w:r>
    </w:p>
    <w:p w:rsidR="00FC73F4" w:rsidRDefault="00454E81">
      <w:pPr>
        <w:pStyle w:val="Heading2"/>
      </w:pPr>
      <w:r>
        <w:t>Why does an increasing footprint matter?</w:t>
      </w:r>
    </w:p>
    <w:p w:rsidR="0011665F" w:rsidRDefault="00454E81" w:rsidP="003E636A">
      <w:r>
        <w:t>We only have one Earth. Using our natural capital (our finite or slowly regenerating natural resources) faster than it can be replenished is like maintaining spending that continually exceeds income. This results in shrinking forests, biodiversity loss, freshwater stress and climate change. All of these impacts have an impact on us, which may not be immediately felt but certainly impact us in the future.</w:t>
      </w:r>
    </w:p>
    <w:p w:rsidR="00197C4D" w:rsidRDefault="00454E81" w:rsidP="003E636A">
      <w:r>
        <w:t xml:space="preserve">There are also social and economic costs. In a world with limited resources, excessive consumption by some </w:t>
      </w:r>
      <w:r w:rsidR="00FC73F4">
        <w:t>will have a negative impact elsewhere and on other people. If we in wealthier countries continue our current consumption patterns, we put pressure on others to live in poverty without sufficient resources to sustain life and health. Our ecological footprint is a social and economic issue as much as it is an environmental one.</w:t>
      </w:r>
    </w:p>
    <w:p w:rsidR="00FC73F4" w:rsidRDefault="00454E81">
      <w:pPr>
        <w:pStyle w:val="Heading2"/>
      </w:pPr>
      <w:r>
        <w:t>What can Canberrans do to reduce our footprint?</w:t>
      </w:r>
    </w:p>
    <w:p w:rsidR="00FC73F4" w:rsidRDefault="00FC73F4" w:rsidP="003E636A">
      <w:r>
        <w:t>The ACT is not self-contained; the resources that we consume come from across the world. Reducing our ecological footprint requires actions that take into account the resources we use, not just in the ACT but nationally and globally. Key actions are to:</w:t>
      </w:r>
    </w:p>
    <w:p w:rsidR="0011665F" w:rsidRDefault="00FC73F4" w:rsidP="00FC73F4">
      <w:pPr>
        <w:pStyle w:val="ListParagraph"/>
        <w:numPr>
          <w:ilvl w:val="0"/>
          <w:numId w:val="7"/>
        </w:numPr>
      </w:pPr>
      <w:r>
        <w:t xml:space="preserve">Be smarter </w:t>
      </w:r>
      <w:r w:rsidR="00DC05A4">
        <w:t>in our consumptio</w:t>
      </w:r>
      <w:r w:rsidR="00E00967">
        <w:t>n, and</w:t>
      </w:r>
    </w:p>
    <w:p w:rsidR="00DC05A4" w:rsidRDefault="00DC05A4" w:rsidP="00FC73F4">
      <w:pPr>
        <w:pStyle w:val="ListParagraph"/>
        <w:numPr>
          <w:ilvl w:val="0"/>
          <w:numId w:val="7"/>
        </w:numPr>
      </w:pPr>
      <w:r>
        <w:t>Protect and enhance our national environment so our land and water is biologically more resilient and productive.</w:t>
      </w:r>
    </w:p>
    <w:p w:rsidR="00DC05A4" w:rsidRDefault="00E00967" w:rsidP="00DC05A4">
      <w:r w:rsidRPr="00197C4D">
        <w:rPr>
          <w:b/>
        </w:rPr>
        <w:t>Key decisions that Canberrans can make on a daily basis to reduce our footprint</w:t>
      </w:r>
      <w:r>
        <w:t xml:space="preserve"> include:</w:t>
      </w:r>
    </w:p>
    <w:p w:rsidR="00E00967" w:rsidRDefault="00E00967" w:rsidP="00E00967">
      <w:pPr>
        <w:pStyle w:val="bulletlist"/>
      </w:pPr>
      <w:r>
        <w:t>Repair, reuse or borrow where possible instead of buying new things;</w:t>
      </w:r>
    </w:p>
    <w:p w:rsidR="00E00967" w:rsidRDefault="00E00967" w:rsidP="00E00967">
      <w:pPr>
        <w:pStyle w:val="bulletlist"/>
      </w:pPr>
      <w:r>
        <w:t>Before tossing something in the bin see if there is another use for it;</w:t>
      </w:r>
    </w:p>
    <w:p w:rsidR="00E00967" w:rsidRDefault="00E00967" w:rsidP="00E00967">
      <w:pPr>
        <w:pStyle w:val="bulletlist"/>
      </w:pPr>
      <w:r>
        <w:t>Buy quality goods that are efficient and will last a long time;</w:t>
      </w:r>
    </w:p>
    <w:p w:rsidR="00E00967" w:rsidRDefault="00E00967" w:rsidP="00E00967">
      <w:pPr>
        <w:pStyle w:val="bulletlist"/>
      </w:pPr>
      <w:r>
        <w:t xml:space="preserve">Invest in doing an activity as an alternative to purchasing goods. </w:t>
      </w:r>
      <w:proofErr w:type="gramStart"/>
      <w:r>
        <w:t>e.g</w:t>
      </w:r>
      <w:proofErr w:type="gramEnd"/>
      <w:r>
        <w:t>. Concerts, movies etc.</w:t>
      </w:r>
    </w:p>
    <w:p w:rsidR="00E00967" w:rsidRDefault="00E00967" w:rsidP="00E00967">
      <w:pPr>
        <w:pStyle w:val="bulletlist"/>
      </w:pPr>
      <w:r>
        <w:t>Use renewable energy; and</w:t>
      </w:r>
    </w:p>
    <w:p w:rsidR="00E00967" w:rsidRDefault="00E00967" w:rsidP="00E00967">
      <w:pPr>
        <w:pStyle w:val="bulletlist"/>
      </w:pPr>
      <w:r>
        <w:t>Make your home and appliances more energy efficient.</w:t>
      </w:r>
    </w:p>
    <w:p w:rsidR="00BE788E" w:rsidRDefault="00BE788E" w:rsidP="003E636A">
      <w:pPr>
        <w:rPr>
          <w:b/>
        </w:rPr>
      </w:pPr>
    </w:p>
    <w:p w:rsidR="00BE788E" w:rsidRDefault="00BE788E" w:rsidP="003E636A">
      <w:pPr>
        <w:rPr>
          <w:b/>
        </w:rPr>
      </w:pPr>
    </w:p>
    <w:p w:rsidR="00CE3B0F" w:rsidRDefault="00E00967" w:rsidP="003E636A">
      <w:r w:rsidRPr="00197C4D">
        <w:rPr>
          <w:b/>
        </w:rPr>
        <w:lastRenderedPageBreak/>
        <w:t>Larger changes need to be made through government policy and the support of the wider community and business sector</w:t>
      </w:r>
      <w:r>
        <w:t xml:space="preserve"> include; </w:t>
      </w:r>
    </w:p>
    <w:p w:rsidR="00E00967" w:rsidRDefault="00E00967" w:rsidP="00E00967">
      <w:pPr>
        <w:pStyle w:val="bulletlist"/>
      </w:pPr>
      <w:r>
        <w:t>Transforming our economies to lower our overall resource use;</w:t>
      </w:r>
    </w:p>
    <w:p w:rsidR="00E00967" w:rsidRDefault="00E00967" w:rsidP="00E00967">
      <w:pPr>
        <w:pStyle w:val="bulletlist"/>
      </w:pPr>
      <w:r>
        <w:t>Improving the efficiency and sources of our energy;</w:t>
      </w:r>
    </w:p>
    <w:p w:rsidR="00E00967" w:rsidRDefault="00E00967" w:rsidP="00E00967">
      <w:pPr>
        <w:pStyle w:val="bulletlist"/>
      </w:pPr>
      <w:r>
        <w:t>Pursuing further regional opportunities to extend the production of renewable energy;</w:t>
      </w:r>
    </w:p>
    <w:p w:rsidR="00E00967" w:rsidRDefault="00E00967" w:rsidP="00E00967">
      <w:pPr>
        <w:pStyle w:val="bulletlist"/>
      </w:pPr>
      <w:r>
        <w:t>Supporting business initiatives towards an expanded ‘green economy’; and</w:t>
      </w:r>
    </w:p>
    <w:p w:rsidR="00E00967" w:rsidRDefault="00E00967" w:rsidP="00E00967">
      <w:pPr>
        <w:pStyle w:val="bulletlist"/>
      </w:pPr>
      <w:r>
        <w:t>Protecting and enhancing our natural environment.</w:t>
      </w:r>
    </w:p>
    <w:p w:rsidR="004D7119" w:rsidRDefault="00E00967" w:rsidP="00DE5379">
      <w:pPr>
        <w:pStyle w:val="bulletlist"/>
        <w:numPr>
          <w:ilvl w:val="0"/>
          <w:numId w:val="0"/>
        </w:numPr>
      </w:pPr>
      <w:r>
        <w:t>The</w:t>
      </w:r>
      <w:r w:rsidR="00BE788E">
        <w:t xml:space="preserve"> ACT</w:t>
      </w:r>
      <w:r>
        <w:t xml:space="preserve"> Commissioner for Sustainability and the </w:t>
      </w:r>
      <w:proofErr w:type="gramStart"/>
      <w:r>
        <w:t>Environment</w:t>
      </w:r>
      <w:r w:rsidR="00BE788E">
        <w:t xml:space="preserve">  </w:t>
      </w:r>
      <w:r>
        <w:t>is</w:t>
      </w:r>
      <w:proofErr w:type="gramEnd"/>
      <w:r>
        <w:t xml:space="preserve"> about to launch the 2015 ACT State of the Environment Report. The Report will present an update on the 2008-09 ecological footprint data, and will further discuss the consequences of our increasing footprint in the ACT. The 2015 Report will also highlight actions </w:t>
      </w:r>
      <w:r w:rsidR="00DE5379">
        <w:t xml:space="preserve">in the period since the 2011 SoER that are making a difference, and where we will need to focus our efforts in the future. </w:t>
      </w:r>
    </w:p>
    <w:p w:rsidR="009E5AC8" w:rsidRDefault="009E5AC8" w:rsidP="00DE5379">
      <w:pPr>
        <w:pStyle w:val="bulletlist"/>
        <w:numPr>
          <w:ilvl w:val="0"/>
          <w:numId w:val="0"/>
        </w:numPr>
      </w:pPr>
    </w:p>
    <w:p w:rsidR="009E5AC8" w:rsidRDefault="009E5AC8" w:rsidP="009E5AC8">
      <w:pPr>
        <w:pStyle w:val="bulletlist"/>
        <w:keepNext/>
        <w:numPr>
          <w:ilvl w:val="0"/>
          <w:numId w:val="0"/>
        </w:numPr>
      </w:pPr>
      <w:r>
        <w:rPr>
          <w:noProof/>
        </w:rPr>
        <w:drawing>
          <wp:inline distT="0" distB="0" distL="0" distR="0">
            <wp:extent cx="5731510" cy="3820795"/>
            <wp:effectExtent l="19050" t="0" r="2540" b="0"/>
            <wp:docPr id="3" name="Picture 2" descr="windfarms (A117317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farms (A11731735).jpeg"/>
                    <pic:cNvPicPr/>
                  </pic:nvPicPr>
                  <pic:blipFill>
                    <a:blip r:embed="rId9" cstate="print"/>
                    <a:stretch>
                      <a:fillRect/>
                    </a:stretch>
                  </pic:blipFill>
                  <pic:spPr>
                    <a:xfrm>
                      <a:off x="0" y="0"/>
                      <a:ext cx="5731510" cy="3820795"/>
                    </a:xfrm>
                    <a:prstGeom prst="rect">
                      <a:avLst/>
                    </a:prstGeom>
                  </pic:spPr>
                </pic:pic>
              </a:graphicData>
            </a:graphic>
          </wp:inline>
        </w:drawing>
      </w:r>
    </w:p>
    <w:p w:rsidR="00197C4D" w:rsidRDefault="009E5AC8" w:rsidP="009E5AC8">
      <w:pPr>
        <w:pStyle w:val="Caption"/>
      </w:pPr>
      <w:proofErr w:type="spellStart"/>
      <w:proofErr w:type="gramStart"/>
      <w:r>
        <w:t>Windfarms</w:t>
      </w:r>
      <w:proofErr w:type="spellEnd"/>
      <w:r>
        <w:t xml:space="preserve"> near Canberra.</w:t>
      </w:r>
      <w:proofErr w:type="gramEnd"/>
      <w:r>
        <w:t xml:space="preserve"> Photo: ACT Government</w:t>
      </w:r>
    </w:p>
    <w:p w:rsidR="009E5AC8" w:rsidRDefault="009E5AC8" w:rsidP="00DE5379">
      <w:pPr>
        <w:pStyle w:val="bulletlist"/>
        <w:numPr>
          <w:ilvl w:val="0"/>
          <w:numId w:val="0"/>
        </w:numPr>
      </w:pPr>
    </w:p>
    <w:p w:rsidR="001E3369" w:rsidRDefault="001E3369" w:rsidP="003E636A">
      <w:r>
        <w:t xml:space="preserve">More information on </w:t>
      </w:r>
      <w:r w:rsidR="004D7119">
        <w:t>Canberra’s ecological footprint</w:t>
      </w:r>
      <w:r>
        <w:t xml:space="preserve"> is available </w:t>
      </w:r>
      <w:r w:rsidR="00DE5379">
        <w:t>on the OCSE website, located at the following link;</w:t>
      </w:r>
      <w:r w:rsidR="00DE5379" w:rsidRPr="00DE5379">
        <w:t xml:space="preserve"> </w:t>
      </w:r>
      <w:hyperlink r:id="rId10" w:history="1">
        <w:r w:rsidR="004D7119" w:rsidRPr="00EF76E2">
          <w:rPr>
            <w:rStyle w:val="Hyperlink"/>
          </w:rPr>
          <w:t>http://www.environmentcommissioner.act.gov.au/ecological-footprints</w:t>
        </w:r>
      </w:hyperlink>
      <w:r w:rsidR="00DE5379">
        <w:t xml:space="preserve"> </w:t>
      </w:r>
    </w:p>
    <w:p w:rsidR="00197C4D" w:rsidRPr="00670E05" w:rsidRDefault="002306CE" w:rsidP="00197C4D">
      <w:pPr>
        <w:rPr>
          <w:rFonts w:ascii="Times New Roman" w:eastAsia="Times New Roman" w:hAnsi="Times New Roman"/>
          <w:sz w:val="24"/>
          <w:szCs w:val="24"/>
        </w:rPr>
      </w:pPr>
      <w:r>
        <w:t xml:space="preserve">Additional information is available in the </w:t>
      </w:r>
      <w:r w:rsidRPr="00197C4D">
        <w:rPr>
          <w:i/>
        </w:rPr>
        <w:t>2015 ACT State of the Environment Report</w:t>
      </w:r>
      <w:r>
        <w:t>, located at the following link;</w:t>
      </w:r>
      <w:r w:rsidR="00197C4D">
        <w:t xml:space="preserve"> </w:t>
      </w:r>
      <w:hyperlink r:id="rId11" w:history="1">
        <w:r w:rsidR="00197C4D">
          <w:rPr>
            <w:rStyle w:val="Hyperlink"/>
          </w:rPr>
          <w:t>http://reports.envcomm.act.gov.au/actsoe2015</w:t>
        </w:r>
      </w:hyperlink>
      <w:r w:rsidR="00197C4D" w:rsidRPr="00670E05">
        <w:rPr>
          <w:rFonts w:ascii="Times New Roman" w:eastAsia="Times New Roman" w:hAnsi="Times New Roman"/>
          <w:sz w:val="24"/>
          <w:szCs w:val="24"/>
        </w:rPr>
        <w:t xml:space="preserve"> </w:t>
      </w:r>
    </w:p>
    <w:p w:rsidR="002306CE" w:rsidRPr="001E3369" w:rsidRDefault="002306CE" w:rsidP="003E636A">
      <w:pPr>
        <w:rPr>
          <w:rFonts w:ascii="Times New Roman" w:eastAsia="Times New Roman" w:hAnsi="Times New Roman"/>
          <w:sz w:val="24"/>
          <w:szCs w:val="24"/>
        </w:rPr>
      </w:pPr>
    </w:p>
    <w:sectPr w:rsidR="002306CE" w:rsidRPr="001E3369" w:rsidSect="004B03D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30" w:rsidRDefault="00F34030" w:rsidP="003E636A">
      <w:r>
        <w:separator/>
      </w:r>
    </w:p>
  </w:endnote>
  <w:endnote w:type="continuationSeparator" w:id="0">
    <w:p w:rsidR="00F34030" w:rsidRDefault="00F34030" w:rsidP="003E63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7" w:rsidRDefault="00E00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7" w:rsidRDefault="00E00967" w:rsidP="005E7A3C">
    <w:pPr>
      <w:pStyle w:val="Footer"/>
    </w:pPr>
    <w:r w:rsidRPr="005E7A3C">
      <w:rPr>
        <w:sz w:val="18"/>
        <w:szCs w:val="18"/>
      </w:rPr>
      <w:t>ACT State of the Environment Report 2015 |Commissioner for Sustainability and the Environment | www.envcomm.act.gov.au</w:t>
    </w:r>
    <w:r w:rsidRPr="005E7A3C">
      <w:t xml:space="preserve"> </w:t>
    </w:r>
    <w:sdt>
      <w:sdtPr>
        <w:id w:val="88973514"/>
        <w:docPartObj>
          <w:docPartGallery w:val="Page Numbers (Bottom of Page)"/>
          <w:docPartUnique/>
        </w:docPartObj>
      </w:sdtPr>
      <w:sdtContent>
        <w:r>
          <w:tab/>
        </w:r>
        <w:r>
          <w:tab/>
        </w:r>
        <w:r>
          <w:tab/>
        </w:r>
        <w:fldSimple w:instr=" PAGE   \* MERGEFORMAT ">
          <w:r w:rsidR="00BE788E">
            <w:rPr>
              <w:noProof/>
            </w:rPr>
            <w:t>2</w:t>
          </w:r>
        </w:fldSimple>
      </w:sdtContent>
    </w:sdt>
  </w:p>
  <w:p w:rsidR="00E00967" w:rsidRDefault="00E00967" w:rsidP="003E63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7" w:rsidRDefault="00E00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30" w:rsidRDefault="00F34030" w:rsidP="003E636A">
      <w:r>
        <w:separator/>
      </w:r>
    </w:p>
  </w:footnote>
  <w:footnote w:type="continuationSeparator" w:id="0">
    <w:p w:rsidR="00F34030" w:rsidRDefault="00F34030" w:rsidP="003E6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7" w:rsidRDefault="00E00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7" w:rsidRDefault="00E00967" w:rsidP="003E636A">
    <w:pPr>
      <w:pStyle w:val="Header"/>
    </w:pPr>
    <w:r>
      <w:rPr>
        <w:noProof/>
        <w:lang w:val="en-AU" w:bidi="ar-SA"/>
      </w:rPr>
      <w:drawing>
        <wp:inline distT="0" distB="0" distL="0" distR="0">
          <wp:extent cx="1921894" cy="389949"/>
          <wp:effectExtent l="19050" t="0" r="2156" b="0"/>
          <wp:docPr id="12" name="Picture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stretch>
                    <a:fillRect/>
                  </a:stretch>
                </pic:blipFill>
                <pic:spPr>
                  <a:xfrm>
                    <a:off x="0" y="0"/>
                    <a:ext cx="1921631" cy="389896"/>
                  </a:xfrm>
                  <a:prstGeom prst="rect">
                    <a:avLst/>
                  </a:prstGeom>
                </pic:spPr>
              </pic:pic>
            </a:graphicData>
          </a:graphic>
        </wp:inline>
      </w:drawing>
    </w:r>
    <w:r>
      <w:rPr>
        <w:rStyle w:val="TitleChar"/>
        <w:spacing w:val="-20"/>
        <w:sz w:val="28"/>
        <w:szCs w:val="28"/>
      </w:rPr>
      <w:tab/>
    </w:r>
    <w:r w:rsidRPr="002517D4">
      <w:rPr>
        <w:rStyle w:val="TitleChar"/>
        <w:spacing w:val="-20"/>
        <w:sz w:val="28"/>
        <w:szCs w:val="28"/>
      </w:rPr>
      <w:t>Fact Sheet: ACT State of the Environment Report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7" w:rsidRDefault="00E00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EEE"/>
    <w:multiLevelType w:val="hybridMultilevel"/>
    <w:tmpl w:val="4D204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2A42FD"/>
    <w:multiLevelType w:val="hybridMultilevel"/>
    <w:tmpl w:val="F6D87C3E"/>
    <w:lvl w:ilvl="0" w:tplc="F1A27B3C">
      <w:start w:val="1"/>
      <w:numFmt w:val="bullet"/>
      <w:pStyle w:val="bullet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15171"/>
    <w:multiLevelType w:val="hybridMultilevel"/>
    <w:tmpl w:val="28FCAEA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9A64A2"/>
    <w:multiLevelType w:val="hybridMultilevel"/>
    <w:tmpl w:val="EB74473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B330E1E"/>
    <w:multiLevelType w:val="hybridMultilevel"/>
    <w:tmpl w:val="A626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CD20B6"/>
    <w:multiLevelType w:val="hybridMultilevel"/>
    <w:tmpl w:val="3942E138"/>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6">
    <w:nsid w:val="708454D4"/>
    <w:multiLevelType w:val="hybridMultilevel"/>
    <w:tmpl w:val="31D657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3A67"/>
    <w:rsid w:val="00021530"/>
    <w:rsid w:val="00080E89"/>
    <w:rsid w:val="000B22B4"/>
    <w:rsid w:val="000E448F"/>
    <w:rsid w:val="00111263"/>
    <w:rsid w:val="0011665F"/>
    <w:rsid w:val="001623AF"/>
    <w:rsid w:val="00166A7D"/>
    <w:rsid w:val="00175A6E"/>
    <w:rsid w:val="00180137"/>
    <w:rsid w:val="00193A67"/>
    <w:rsid w:val="00197C4D"/>
    <w:rsid w:val="001A7A66"/>
    <w:rsid w:val="001C26ED"/>
    <w:rsid w:val="001E3369"/>
    <w:rsid w:val="00215EEB"/>
    <w:rsid w:val="002306CE"/>
    <w:rsid w:val="0026692D"/>
    <w:rsid w:val="00295A13"/>
    <w:rsid w:val="002D66E3"/>
    <w:rsid w:val="00310345"/>
    <w:rsid w:val="003629D6"/>
    <w:rsid w:val="00364115"/>
    <w:rsid w:val="003E636A"/>
    <w:rsid w:val="00406E16"/>
    <w:rsid w:val="00420406"/>
    <w:rsid w:val="00421EA1"/>
    <w:rsid w:val="00432458"/>
    <w:rsid w:val="00445597"/>
    <w:rsid w:val="00454E81"/>
    <w:rsid w:val="0046657E"/>
    <w:rsid w:val="00497DE2"/>
    <w:rsid w:val="004B03DF"/>
    <w:rsid w:val="004B79AC"/>
    <w:rsid w:val="004C29F9"/>
    <w:rsid w:val="004D7119"/>
    <w:rsid w:val="004F46B9"/>
    <w:rsid w:val="00526E0E"/>
    <w:rsid w:val="005A1B97"/>
    <w:rsid w:val="005B2BAA"/>
    <w:rsid w:val="005E7A3C"/>
    <w:rsid w:val="00627040"/>
    <w:rsid w:val="006420A0"/>
    <w:rsid w:val="00652DA3"/>
    <w:rsid w:val="006B2FE7"/>
    <w:rsid w:val="006D6FE8"/>
    <w:rsid w:val="00737A99"/>
    <w:rsid w:val="00751EF9"/>
    <w:rsid w:val="007C3DF7"/>
    <w:rsid w:val="007C711C"/>
    <w:rsid w:val="0083381B"/>
    <w:rsid w:val="0084472C"/>
    <w:rsid w:val="009435FA"/>
    <w:rsid w:val="0096532E"/>
    <w:rsid w:val="00976F59"/>
    <w:rsid w:val="009A05F1"/>
    <w:rsid w:val="009A1471"/>
    <w:rsid w:val="009E5AC8"/>
    <w:rsid w:val="00A3254F"/>
    <w:rsid w:val="00A32701"/>
    <w:rsid w:val="00A41868"/>
    <w:rsid w:val="00A70C36"/>
    <w:rsid w:val="00A7443B"/>
    <w:rsid w:val="00AA6454"/>
    <w:rsid w:val="00B06A56"/>
    <w:rsid w:val="00B41CCA"/>
    <w:rsid w:val="00B61DDF"/>
    <w:rsid w:val="00BE788E"/>
    <w:rsid w:val="00BF6C85"/>
    <w:rsid w:val="00C478FB"/>
    <w:rsid w:val="00C47A68"/>
    <w:rsid w:val="00C563E5"/>
    <w:rsid w:val="00C57A9C"/>
    <w:rsid w:val="00CC5343"/>
    <w:rsid w:val="00CE3B0F"/>
    <w:rsid w:val="00CF6C7B"/>
    <w:rsid w:val="00D00631"/>
    <w:rsid w:val="00D006B7"/>
    <w:rsid w:val="00D26137"/>
    <w:rsid w:val="00D3256C"/>
    <w:rsid w:val="00D45F25"/>
    <w:rsid w:val="00DB4D01"/>
    <w:rsid w:val="00DC05A4"/>
    <w:rsid w:val="00DD2F9E"/>
    <w:rsid w:val="00DE1A34"/>
    <w:rsid w:val="00DE5379"/>
    <w:rsid w:val="00E00967"/>
    <w:rsid w:val="00E03044"/>
    <w:rsid w:val="00E372FE"/>
    <w:rsid w:val="00E944C2"/>
    <w:rsid w:val="00EE52CA"/>
    <w:rsid w:val="00F34030"/>
    <w:rsid w:val="00F808F2"/>
    <w:rsid w:val="00FB5A7F"/>
    <w:rsid w:val="00FC73F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36A"/>
    <w:pPr>
      <w:spacing w:before="120" w:after="120"/>
      <w:ind w:firstLine="0"/>
    </w:pPr>
    <w:rPr>
      <w:lang w:eastAsia="en-AU"/>
    </w:rPr>
  </w:style>
  <w:style w:type="paragraph" w:styleId="Heading1">
    <w:name w:val="heading 1"/>
    <w:basedOn w:val="Normal"/>
    <w:next w:val="Normal"/>
    <w:link w:val="Heading1Char"/>
    <w:uiPriority w:val="9"/>
    <w:qFormat/>
    <w:rsid w:val="003E636A"/>
    <w:pPr>
      <w:pBdr>
        <w:bottom w:val="single" w:sz="12" w:space="1" w:color="B35E06" w:themeColor="accent1" w:themeShade="BF"/>
      </w:pBdr>
      <w:spacing w:before="360"/>
      <w:outlineLvl w:val="0"/>
    </w:pPr>
    <w:rPr>
      <w:rFonts w:asciiTheme="majorHAnsi" w:eastAsiaTheme="majorEastAsia" w:hAnsiTheme="majorHAnsi" w:cstheme="majorBidi"/>
      <w:b/>
      <w:bCs/>
      <w:color w:val="B35E06" w:themeColor="accent1" w:themeShade="BF"/>
      <w:sz w:val="36"/>
      <w:szCs w:val="36"/>
    </w:rPr>
  </w:style>
  <w:style w:type="paragraph" w:styleId="Heading2">
    <w:name w:val="heading 2"/>
    <w:basedOn w:val="Normal"/>
    <w:next w:val="Normal"/>
    <w:link w:val="Heading2Char"/>
    <w:uiPriority w:val="9"/>
    <w:unhideWhenUsed/>
    <w:qFormat/>
    <w:rsid w:val="00D26137"/>
    <w:pPr>
      <w:pBdr>
        <w:bottom w:val="single" w:sz="8" w:space="1" w:color="F07F09" w:themeColor="accent1"/>
      </w:pBdr>
      <w:spacing w:before="200" w:after="80"/>
      <w:outlineLvl w:val="1"/>
    </w:pPr>
    <w:rPr>
      <w:rFonts w:asciiTheme="majorHAnsi" w:eastAsiaTheme="majorEastAsia" w:hAnsiTheme="majorHAnsi" w:cstheme="majorBidi"/>
      <w:color w:val="B35E06" w:themeColor="accent1" w:themeShade="BF"/>
      <w:sz w:val="24"/>
      <w:szCs w:val="24"/>
    </w:rPr>
  </w:style>
  <w:style w:type="paragraph" w:styleId="Heading3">
    <w:name w:val="heading 3"/>
    <w:basedOn w:val="Normal"/>
    <w:next w:val="Normal"/>
    <w:link w:val="Heading3Char"/>
    <w:uiPriority w:val="9"/>
    <w:unhideWhenUsed/>
    <w:qFormat/>
    <w:rsid w:val="00D26137"/>
    <w:pPr>
      <w:pBdr>
        <w:bottom w:val="single" w:sz="4" w:space="1" w:color="F9B268" w:themeColor="accent1" w:themeTint="99"/>
      </w:pBdr>
      <w:spacing w:before="200" w:after="80"/>
      <w:outlineLvl w:val="2"/>
    </w:pPr>
    <w:rPr>
      <w:rFonts w:asciiTheme="majorHAnsi" w:eastAsiaTheme="majorEastAsia" w:hAnsiTheme="majorHAnsi" w:cstheme="majorBidi"/>
      <w:color w:val="F07F09" w:themeColor="accent1"/>
      <w:sz w:val="24"/>
      <w:szCs w:val="24"/>
    </w:rPr>
  </w:style>
  <w:style w:type="paragraph" w:styleId="Heading4">
    <w:name w:val="heading 4"/>
    <w:basedOn w:val="Normal"/>
    <w:next w:val="Normal"/>
    <w:link w:val="Heading4Char"/>
    <w:uiPriority w:val="9"/>
    <w:unhideWhenUsed/>
    <w:qFormat/>
    <w:rsid w:val="00A70C36"/>
    <w:pPr>
      <w:pBdr>
        <w:bottom w:val="single" w:sz="4" w:space="2" w:color="FBCB9A" w:themeColor="accent1" w:themeTint="66"/>
      </w:pBdr>
      <w:spacing w:before="200" w:after="80"/>
      <w:outlineLvl w:val="3"/>
    </w:pPr>
    <w:rPr>
      <w:rFonts w:asciiTheme="majorHAnsi" w:eastAsiaTheme="majorEastAsia" w:hAnsiTheme="majorHAnsi" w:cstheme="majorBidi"/>
      <w:iCs/>
      <w:color w:val="F07F09" w:themeColor="accent1"/>
      <w:sz w:val="24"/>
      <w:szCs w:val="24"/>
    </w:rPr>
  </w:style>
  <w:style w:type="paragraph" w:styleId="Heading5">
    <w:name w:val="heading 5"/>
    <w:basedOn w:val="Normal"/>
    <w:next w:val="Normal"/>
    <w:link w:val="Heading5Char"/>
    <w:uiPriority w:val="9"/>
    <w:unhideWhenUsed/>
    <w:qFormat/>
    <w:rsid w:val="00D26137"/>
    <w:pPr>
      <w:spacing w:before="200" w:after="80"/>
      <w:outlineLvl w:val="4"/>
    </w:pPr>
    <w:rPr>
      <w:rFonts w:asciiTheme="majorHAnsi" w:eastAsiaTheme="majorEastAsia" w:hAnsiTheme="majorHAnsi" w:cstheme="majorBidi"/>
      <w:color w:val="F07F09" w:themeColor="accent1"/>
    </w:rPr>
  </w:style>
  <w:style w:type="paragraph" w:styleId="Heading6">
    <w:name w:val="heading 6"/>
    <w:basedOn w:val="Normal"/>
    <w:next w:val="Normal"/>
    <w:link w:val="Heading6Char"/>
    <w:uiPriority w:val="9"/>
    <w:semiHidden/>
    <w:unhideWhenUsed/>
    <w:qFormat/>
    <w:rsid w:val="00D26137"/>
    <w:pPr>
      <w:spacing w:before="280" w:after="100"/>
      <w:outlineLvl w:val="5"/>
    </w:pPr>
    <w:rPr>
      <w:rFonts w:asciiTheme="majorHAnsi" w:eastAsiaTheme="majorEastAsia" w:hAnsiTheme="majorHAnsi" w:cstheme="majorBidi"/>
      <w:i/>
      <w:iCs/>
      <w:color w:val="F07F09" w:themeColor="accent1"/>
    </w:rPr>
  </w:style>
  <w:style w:type="paragraph" w:styleId="Heading7">
    <w:name w:val="heading 7"/>
    <w:basedOn w:val="Normal"/>
    <w:next w:val="Normal"/>
    <w:link w:val="Heading7Char"/>
    <w:uiPriority w:val="9"/>
    <w:semiHidden/>
    <w:unhideWhenUsed/>
    <w:qFormat/>
    <w:rsid w:val="00D26137"/>
    <w:pPr>
      <w:spacing w:before="320" w:after="100"/>
      <w:outlineLvl w:val="6"/>
    </w:pPr>
    <w:rPr>
      <w:rFonts w:asciiTheme="majorHAnsi" w:eastAsiaTheme="majorEastAsia" w:hAnsiTheme="majorHAnsi" w:cstheme="majorBidi"/>
      <w:b/>
      <w:bCs/>
      <w:color w:val="1B587C" w:themeColor="accent3"/>
      <w:sz w:val="20"/>
      <w:szCs w:val="20"/>
    </w:rPr>
  </w:style>
  <w:style w:type="paragraph" w:styleId="Heading8">
    <w:name w:val="heading 8"/>
    <w:basedOn w:val="Normal"/>
    <w:next w:val="Normal"/>
    <w:link w:val="Heading8Char"/>
    <w:uiPriority w:val="9"/>
    <w:semiHidden/>
    <w:unhideWhenUsed/>
    <w:qFormat/>
    <w:rsid w:val="00D26137"/>
    <w:pPr>
      <w:spacing w:before="320" w:after="100"/>
      <w:outlineLvl w:val="7"/>
    </w:pPr>
    <w:rPr>
      <w:rFonts w:asciiTheme="majorHAnsi" w:eastAsiaTheme="majorEastAsia" w:hAnsiTheme="majorHAnsi" w:cstheme="majorBidi"/>
      <w:b/>
      <w:bCs/>
      <w:i/>
      <w:iCs/>
      <w:color w:val="1B587C" w:themeColor="accent3"/>
      <w:sz w:val="20"/>
      <w:szCs w:val="20"/>
    </w:rPr>
  </w:style>
  <w:style w:type="paragraph" w:styleId="Heading9">
    <w:name w:val="heading 9"/>
    <w:basedOn w:val="Normal"/>
    <w:next w:val="Normal"/>
    <w:link w:val="Heading9Char"/>
    <w:uiPriority w:val="9"/>
    <w:semiHidden/>
    <w:unhideWhenUsed/>
    <w:qFormat/>
    <w:rsid w:val="00D26137"/>
    <w:pPr>
      <w:spacing w:before="320" w:after="100"/>
      <w:outlineLvl w:val="8"/>
    </w:pPr>
    <w:rPr>
      <w:rFonts w:asciiTheme="majorHAnsi" w:eastAsiaTheme="majorEastAsia" w:hAnsiTheme="majorHAnsi" w:cstheme="majorBidi"/>
      <w:i/>
      <w:iCs/>
      <w:color w:val="1B587C"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36A"/>
    <w:rPr>
      <w:rFonts w:asciiTheme="majorHAnsi" w:eastAsiaTheme="majorEastAsia" w:hAnsiTheme="majorHAnsi" w:cstheme="majorBidi"/>
      <w:b/>
      <w:bCs/>
      <w:color w:val="B35E06" w:themeColor="accent1" w:themeShade="BF"/>
      <w:sz w:val="36"/>
      <w:szCs w:val="36"/>
    </w:rPr>
  </w:style>
  <w:style w:type="character" w:customStyle="1" w:styleId="Heading2Char">
    <w:name w:val="Heading 2 Char"/>
    <w:basedOn w:val="DefaultParagraphFont"/>
    <w:link w:val="Heading2"/>
    <w:uiPriority w:val="9"/>
    <w:rsid w:val="00D26137"/>
    <w:rPr>
      <w:rFonts w:asciiTheme="majorHAnsi" w:eastAsiaTheme="majorEastAsia" w:hAnsiTheme="majorHAnsi" w:cstheme="majorBidi"/>
      <w:color w:val="B35E06" w:themeColor="accent1" w:themeShade="BF"/>
      <w:sz w:val="24"/>
      <w:szCs w:val="24"/>
    </w:rPr>
  </w:style>
  <w:style w:type="character" w:customStyle="1" w:styleId="Heading3Char">
    <w:name w:val="Heading 3 Char"/>
    <w:basedOn w:val="DefaultParagraphFont"/>
    <w:link w:val="Heading3"/>
    <w:uiPriority w:val="9"/>
    <w:rsid w:val="00D26137"/>
    <w:rPr>
      <w:rFonts w:asciiTheme="majorHAnsi" w:eastAsiaTheme="majorEastAsia" w:hAnsiTheme="majorHAnsi" w:cstheme="majorBidi"/>
      <w:color w:val="F07F09" w:themeColor="accent1"/>
      <w:sz w:val="24"/>
      <w:szCs w:val="24"/>
    </w:rPr>
  </w:style>
  <w:style w:type="character" w:customStyle="1" w:styleId="Heading4Char">
    <w:name w:val="Heading 4 Char"/>
    <w:basedOn w:val="DefaultParagraphFont"/>
    <w:link w:val="Heading4"/>
    <w:uiPriority w:val="9"/>
    <w:rsid w:val="00A70C36"/>
    <w:rPr>
      <w:rFonts w:asciiTheme="majorHAnsi" w:eastAsiaTheme="majorEastAsia" w:hAnsiTheme="majorHAnsi" w:cstheme="majorBidi"/>
      <w:iCs/>
      <w:color w:val="F07F09" w:themeColor="accent1"/>
      <w:sz w:val="24"/>
      <w:szCs w:val="24"/>
      <w:lang w:eastAsia="en-AU"/>
    </w:rPr>
  </w:style>
  <w:style w:type="character" w:customStyle="1" w:styleId="Heading5Char">
    <w:name w:val="Heading 5 Char"/>
    <w:basedOn w:val="DefaultParagraphFont"/>
    <w:link w:val="Heading5"/>
    <w:uiPriority w:val="9"/>
    <w:rsid w:val="00D26137"/>
    <w:rPr>
      <w:rFonts w:asciiTheme="majorHAnsi" w:eastAsiaTheme="majorEastAsia" w:hAnsiTheme="majorHAnsi" w:cstheme="majorBidi"/>
      <w:color w:val="F07F09" w:themeColor="accent1"/>
    </w:rPr>
  </w:style>
  <w:style w:type="character" w:customStyle="1" w:styleId="Heading6Char">
    <w:name w:val="Heading 6 Char"/>
    <w:basedOn w:val="DefaultParagraphFont"/>
    <w:link w:val="Heading6"/>
    <w:uiPriority w:val="9"/>
    <w:semiHidden/>
    <w:rsid w:val="00D26137"/>
    <w:rPr>
      <w:rFonts w:asciiTheme="majorHAnsi" w:eastAsiaTheme="majorEastAsia" w:hAnsiTheme="majorHAnsi" w:cstheme="majorBidi"/>
      <w:i/>
      <w:iCs/>
      <w:color w:val="F07F09" w:themeColor="accent1"/>
    </w:rPr>
  </w:style>
  <w:style w:type="character" w:customStyle="1" w:styleId="Heading7Char">
    <w:name w:val="Heading 7 Char"/>
    <w:basedOn w:val="DefaultParagraphFont"/>
    <w:link w:val="Heading7"/>
    <w:uiPriority w:val="9"/>
    <w:semiHidden/>
    <w:rsid w:val="00D26137"/>
    <w:rPr>
      <w:rFonts w:asciiTheme="majorHAnsi" w:eastAsiaTheme="majorEastAsia" w:hAnsiTheme="majorHAnsi" w:cstheme="majorBidi"/>
      <w:b/>
      <w:bCs/>
      <w:color w:val="1B587C" w:themeColor="accent3"/>
      <w:sz w:val="20"/>
      <w:szCs w:val="20"/>
    </w:rPr>
  </w:style>
  <w:style w:type="character" w:customStyle="1" w:styleId="Heading8Char">
    <w:name w:val="Heading 8 Char"/>
    <w:basedOn w:val="DefaultParagraphFont"/>
    <w:link w:val="Heading8"/>
    <w:uiPriority w:val="9"/>
    <w:semiHidden/>
    <w:rsid w:val="00D26137"/>
    <w:rPr>
      <w:rFonts w:asciiTheme="majorHAnsi" w:eastAsiaTheme="majorEastAsia" w:hAnsiTheme="majorHAnsi" w:cstheme="majorBidi"/>
      <w:b/>
      <w:bCs/>
      <w:i/>
      <w:iCs/>
      <w:color w:val="1B587C" w:themeColor="accent3"/>
      <w:sz w:val="20"/>
      <w:szCs w:val="20"/>
    </w:rPr>
  </w:style>
  <w:style w:type="character" w:customStyle="1" w:styleId="Heading9Char">
    <w:name w:val="Heading 9 Char"/>
    <w:basedOn w:val="DefaultParagraphFont"/>
    <w:link w:val="Heading9"/>
    <w:uiPriority w:val="9"/>
    <w:semiHidden/>
    <w:rsid w:val="00D26137"/>
    <w:rPr>
      <w:rFonts w:asciiTheme="majorHAnsi" w:eastAsiaTheme="majorEastAsia" w:hAnsiTheme="majorHAnsi" w:cstheme="majorBidi"/>
      <w:i/>
      <w:iCs/>
      <w:color w:val="1B587C" w:themeColor="accent3"/>
      <w:sz w:val="20"/>
      <w:szCs w:val="20"/>
    </w:rPr>
  </w:style>
  <w:style w:type="paragraph" w:styleId="Caption">
    <w:name w:val="caption"/>
    <w:basedOn w:val="Normal"/>
    <w:next w:val="Normal"/>
    <w:uiPriority w:val="35"/>
    <w:unhideWhenUsed/>
    <w:qFormat/>
    <w:rsid w:val="00D26137"/>
    <w:rPr>
      <w:b/>
      <w:bCs/>
      <w:sz w:val="18"/>
      <w:szCs w:val="18"/>
    </w:rPr>
  </w:style>
  <w:style w:type="paragraph" w:styleId="Title">
    <w:name w:val="Title"/>
    <w:basedOn w:val="Normal"/>
    <w:next w:val="Normal"/>
    <w:link w:val="TitleChar"/>
    <w:uiPriority w:val="10"/>
    <w:qFormat/>
    <w:rsid w:val="00D26137"/>
    <w:pPr>
      <w:pBdr>
        <w:top w:val="single" w:sz="8" w:space="10" w:color="FABF81" w:themeColor="accent1" w:themeTint="7F"/>
        <w:bottom w:val="single" w:sz="24" w:space="15" w:color="1B587C" w:themeColor="accent3"/>
      </w:pBdr>
      <w:jc w:val="center"/>
    </w:pPr>
    <w:rPr>
      <w:rFonts w:asciiTheme="majorHAnsi" w:eastAsiaTheme="majorEastAsia" w:hAnsiTheme="majorHAnsi" w:cstheme="majorBidi"/>
      <w:i/>
      <w:iCs/>
      <w:color w:val="773F04" w:themeColor="accent1" w:themeShade="7F"/>
      <w:sz w:val="60"/>
      <w:szCs w:val="60"/>
    </w:rPr>
  </w:style>
  <w:style w:type="character" w:customStyle="1" w:styleId="TitleChar">
    <w:name w:val="Title Char"/>
    <w:basedOn w:val="DefaultParagraphFont"/>
    <w:link w:val="Title"/>
    <w:uiPriority w:val="10"/>
    <w:rsid w:val="00D26137"/>
    <w:rPr>
      <w:rFonts w:asciiTheme="majorHAnsi" w:eastAsiaTheme="majorEastAsia" w:hAnsiTheme="majorHAnsi" w:cstheme="majorBidi"/>
      <w:i/>
      <w:iCs/>
      <w:color w:val="773F04" w:themeColor="accent1" w:themeShade="7F"/>
      <w:sz w:val="60"/>
      <w:szCs w:val="60"/>
    </w:rPr>
  </w:style>
  <w:style w:type="paragraph" w:styleId="Subtitle">
    <w:name w:val="Subtitle"/>
    <w:basedOn w:val="Normal"/>
    <w:next w:val="Normal"/>
    <w:link w:val="SubtitleChar"/>
    <w:uiPriority w:val="11"/>
    <w:qFormat/>
    <w:rsid w:val="00D26137"/>
    <w:pPr>
      <w:spacing w:before="200" w:after="900"/>
      <w:jc w:val="right"/>
    </w:pPr>
    <w:rPr>
      <w:i/>
      <w:iCs/>
      <w:sz w:val="24"/>
      <w:szCs w:val="24"/>
    </w:rPr>
  </w:style>
  <w:style w:type="character" w:customStyle="1" w:styleId="SubtitleChar">
    <w:name w:val="Subtitle Char"/>
    <w:basedOn w:val="DefaultParagraphFont"/>
    <w:link w:val="Subtitle"/>
    <w:uiPriority w:val="11"/>
    <w:rsid w:val="00D26137"/>
    <w:rPr>
      <w:rFonts w:asciiTheme="minorHAnsi"/>
      <w:i/>
      <w:iCs/>
      <w:sz w:val="24"/>
      <w:szCs w:val="24"/>
    </w:rPr>
  </w:style>
  <w:style w:type="character" w:styleId="Strong">
    <w:name w:val="Strong"/>
    <w:basedOn w:val="DefaultParagraphFont"/>
    <w:uiPriority w:val="22"/>
    <w:qFormat/>
    <w:rsid w:val="00D26137"/>
    <w:rPr>
      <w:b/>
      <w:bCs/>
      <w:spacing w:val="0"/>
    </w:rPr>
  </w:style>
  <w:style w:type="character" w:styleId="Emphasis">
    <w:name w:val="Emphasis"/>
    <w:uiPriority w:val="20"/>
    <w:qFormat/>
    <w:rsid w:val="00D26137"/>
    <w:rPr>
      <w:b/>
      <w:bCs/>
      <w:i/>
      <w:iCs/>
      <w:color w:val="5A5A5A" w:themeColor="text1" w:themeTint="A5"/>
    </w:rPr>
  </w:style>
  <w:style w:type="paragraph" w:styleId="NoSpacing">
    <w:name w:val="No Spacing"/>
    <w:basedOn w:val="Normal"/>
    <w:link w:val="NoSpacingChar"/>
    <w:uiPriority w:val="1"/>
    <w:qFormat/>
    <w:rsid w:val="00D26137"/>
  </w:style>
  <w:style w:type="character" w:customStyle="1" w:styleId="NoSpacingChar">
    <w:name w:val="No Spacing Char"/>
    <w:basedOn w:val="DefaultParagraphFont"/>
    <w:link w:val="NoSpacing"/>
    <w:uiPriority w:val="1"/>
    <w:rsid w:val="00D26137"/>
  </w:style>
  <w:style w:type="paragraph" w:styleId="ListParagraph">
    <w:name w:val="List Paragraph"/>
    <w:basedOn w:val="Normal"/>
    <w:uiPriority w:val="34"/>
    <w:qFormat/>
    <w:rsid w:val="00D26137"/>
    <w:pPr>
      <w:ind w:left="720"/>
      <w:contextualSpacing/>
    </w:pPr>
  </w:style>
  <w:style w:type="paragraph" w:styleId="Quote">
    <w:name w:val="Quote"/>
    <w:basedOn w:val="Normal"/>
    <w:next w:val="Normal"/>
    <w:link w:val="QuoteChar"/>
    <w:uiPriority w:val="29"/>
    <w:qFormat/>
    <w:rsid w:val="00D261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261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26137"/>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26137"/>
    <w:rPr>
      <w:rFonts w:asciiTheme="majorHAnsi" w:eastAsiaTheme="majorEastAsia" w:hAnsiTheme="majorHAnsi" w:cstheme="majorBidi"/>
      <w:i/>
      <w:iCs/>
      <w:color w:val="FFFFFF" w:themeColor="background1"/>
      <w:sz w:val="24"/>
      <w:szCs w:val="24"/>
      <w:shd w:val="clear" w:color="auto" w:fill="F07F09" w:themeFill="accent1"/>
    </w:rPr>
  </w:style>
  <w:style w:type="character" w:styleId="SubtleEmphasis">
    <w:name w:val="Subtle Emphasis"/>
    <w:uiPriority w:val="19"/>
    <w:qFormat/>
    <w:rsid w:val="00D26137"/>
    <w:rPr>
      <w:i/>
      <w:iCs/>
      <w:color w:val="5A5A5A" w:themeColor="text1" w:themeTint="A5"/>
    </w:rPr>
  </w:style>
  <w:style w:type="character" w:styleId="IntenseEmphasis">
    <w:name w:val="Intense Emphasis"/>
    <w:uiPriority w:val="21"/>
    <w:qFormat/>
    <w:rsid w:val="00D26137"/>
    <w:rPr>
      <w:b/>
      <w:bCs/>
      <w:i/>
      <w:iCs/>
      <w:color w:val="F07F09" w:themeColor="accent1"/>
      <w:sz w:val="22"/>
      <w:szCs w:val="22"/>
    </w:rPr>
  </w:style>
  <w:style w:type="character" w:styleId="SubtleReference">
    <w:name w:val="Subtle Reference"/>
    <w:uiPriority w:val="31"/>
    <w:qFormat/>
    <w:rsid w:val="00D26137"/>
    <w:rPr>
      <w:color w:val="auto"/>
      <w:u w:val="single" w:color="1B587C" w:themeColor="accent3"/>
    </w:rPr>
  </w:style>
  <w:style w:type="character" w:styleId="IntenseReference">
    <w:name w:val="Intense Reference"/>
    <w:basedOn w:val="DefaultParagraphFont"/>
    <w:uiPriority w:val="32"/>
    <w:qFormat/>
    <w:rsid w:val="00D26137"/>
    <w:rPr>
      <w:b/>
      <w:bCs/>
      <w:color w:val="14415C" w:themeColor="accent3" w:themeShade="BF"/>
      <w:u w:val="single" w:color="1B587C" w:themeColor="accent3"/>
    </w:rPr>
  </w:style>
  <w:style w:type="character" w:styleId="BookTitle">
    <w:name w:val="Book Title"/>
    <w:basedOn w:val="DefaultParagraphFont"/>
    <w:uiPriority w:val="33"/>
    <w:qFormat/>
    <w:rsid w:val="00D2613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6137"/>
    <w:pPr>
      <w:outlineLvl w:val="9"/>
    </w:pPr>
  </w:style>
  <w:style w:type="paragraph" w:styleId="Header">
    <w:name w:val="header"/>
    <w:basedOn w:val="Normal"/>
    <w:link w:val="HeaderChar"/>
    <w:uiPriority w:val="99"/>
    <w:unhideWhenUsed/>
    <w:rsid w:val="004C29F9"/>
    <w:pPr>
      <w:tabs>
        <w:tab w:val="center" w:pos="4513"/>
        <w:tab w:val="right" w:pos="9026"/>
      </w:tabs>
    </w:pPr>
  </w:style>
  <w:style w:type="character" w:customStyle="1" w:styleId="HeaderChar">
    <w:name w:val="Header Char"/>
    <w:basedOn w:val="DefaultParagraphFont"/>
    <w:link w:val="Header"/>
    <w:uiPriority w:val="99"/>
    <w:rsid w:val="004C29F9"/>
  </w:style>
  <w:style w:type="paragraph" w:styleId="Footer">
    <w:name w:val="footer"/>
    <w:basedOn w:val="Normal"/>
    <w:link w:val="FooterChar"/>
    <w:uiPriority w:val="99"/>
    <w:unhideWhenUsed/>
    <w:rsid w:val="004C29F9"/>
    <w:pPr>
      <w:tabs>
        <w:tab w:val="center" w:pos="4513"/>
        <w:tab w:val="right" w:pos="9026"/>
      </w:tabs>
    </w:pPr>
  </w:style>
  <w:style w:type="character" w:customStyle="1" w:styleId="FooterChar">
    <w:name w:val="Footer Char"/>
    <w:basedOn w:val="DefaultParagraphFont"/>
    <w:link w:val="Footer"/>
    <w:uiPriority w:val="99"/>
    <w:rsid w:val="004C29F9"/>
  </w:style>
  <w:style w:type="paragraph" w:styleId="BalloonText">
    <w:name w:val="Balloon Text"/>
    <w:basedOn w:val="Normal"/>
    <w:link w:val="BalloonTextChar"/>
    <w:uiPriority w:val="99"/>
    <w:semiHidden/>
    <w:unhideWhenUsed/>
    <w:rsid w:val="003E636A"/>
    <w:rPr>
      <w:rFonts w:ascii="Tahoma" w:hAnsi="Tahoma" w:cs="Tahoma"/>
      <w:sz w:val="16"/>
      <w:szCs w:val="16"/>
    </w:rPr>
  </w:style>
  <w:style w:type="character" w:customStyle="1" w:styleId="BalloonTextChar">
    <w:name w:val="Balloon Text Char"/>
    <w:basedOn w:val="DefaultParagraphFont"/>
    <w:link w:val="BalloonText"/>
    <w:uiPriority w:val="99"/>
    <w:semiHidden/>
    <w:rsid w:val="003E636A"/>
    <w:rPr>
      <w:rFonts w:ascii="Tahoma" w:hAnsi="Tahoma" w:cs="Tahoma"/>
      <w:sz w:val="16"/>
      <w:szCs w:val="16"/>
    </w:rPr>
  </w:style>
  <w:style w:type="paragraph" w:customStyle="1" w:styleId="bulletlist">
    <w:name w:val="bullet list"/>
    <w:basedOn w:val="ListParagraph"/>
    <w:link w:val="bulletlistChar"/>
    <w:qFormat/>
    <w:rsid w:val="003E636A"/>
    <w:pPr>
      <w:numPr>
        <w:numId w:val="6"/>
      </w:numPr>
      <w:contextualSpacing w:val="0"/>
    </w:pPr>
    <w:rPr>
      <w:rFonts w:eastAsia="Times New Roman" w:cs="Arial"/>
      <w:color w:val="1C1C1B"/>
      <w:lang w:val="en-AU" w:bidi="ar-SA"/>
    </w:rPr>
  </w:style>
  <w:style w:type="character" w:customStyle="1" w:styleId="bulletlistChar">
    <w:name w:val="bullet list Char"/>
    <w:basedOn w:val="DefaultParagraphFont"/>
    <w:link w:val="bulletlist"/>
    <w:rsid w:val="003E636A"/>
    <w:rPr>
      <w:rFonts w:eastAsia="Times New Roman" w:cs="Arial"/>
      <w:color w:val="1C1C1B"/>
      <w:lang w:val="en-AU" w:eastAsia="en-AU" w:bidi="ar-SA"/>
    </w:rPr>
  </w:style>
  <w:style w:type="character" w:styleId="Hyperlink">
    <w:name w:val="Hyperlink"/>
    <w:basedOn w:val="DefaultParagraphFont"/>
    <w:uiPriority w:val="99"/>
    <w:unhideWhenUsed/>
    <w:rsid w:val="001E3369"/>
    <w:rPr>
      <w:color w:val="0000FF"/>
      <w:u w:val="single"/>
    </w:rPr>
  </w:style>
  <w:style w:type="character" w:styleId="CommentReference">
    <w:name w:val="annotation reference"/>
    <w:basedOn w:val="DefaultParagraphFont"/>
    <w:uiPriority w:val="99"/>
    <w:semiHidden/>
    <w:unhideWhenUsed/>
    <w:rsid w:val="001E3369"/>
    <w:rPr>
      <w:sz w:val="16"/>
      <w:szCs w:val="16"/>
    </w:rPr>
  </w:style>
  <w:style w:type="paragraph" w:styleId="CommentText">
    <w:name w:val="annotation text"/>
    <w:basedOn w:val="Normal"/>
    <w:link w:val="CommentTextChar"/>
    <w:uiPriority w:val="99"/>
    <w:semiHidden/>
    <w:unhideWhenUsed/>
    <w:rsid w:val="001E3369"/>
    <w:rPr>
      <w:sz w:val="20"/>
      <w:szCs w:val="20"/>
    </w:rPr>
  </w:style>
  <w:style w:type="character" w:customStyle="1" w:styleId="CommentTextChar">
    <w:name w:val="Comment Text Char"/>
    <w:basedOn w:val="DefaultParagraphFont"/>
    <w:link w:val="CommentText"/>
    <w:uiPriority w:val="99"/>
    <w:semiHidden/>
    <w:rsid w:val="001E3369"/>
    <w:rPr>
      <w:sz w:val="20"/>
      <w:szCs w:val="20"/>
      <w:lang w:eastAsia="en-AU"/>
    </w:rPr>
  </w:style>
  <w:style w:type="paragraph" w:styleId="CommentSubject">
    <w:name w:val="annotation subject"/>
    <w:basedOn w:val="CommentText"/>
    <w:next w:val="CommentText"/>
    <w:link w:val="CommentSubjectChar"/>
    <w:uiPriority w:val="99"/>
    <w:semiHidden/>
    <w:unhideWhenUsed/>
    <w:rsid w:val="001E3369"/>
    <w:rPr>
      <w:b/>
      <w:bCs/>
    </w:rPr>
  </w:style>
  <w:style w:type="character" w:customStyle="1" w:styleId="CommentSubjectChar">
    <w:name w:val="Comment Subject Char"/>
    <w:basedOn w:val="CommentTextChar"/>
    <w:link w:val="CommentSubject"/>
    <w:uiPriority w:val="99"/>
    <w:semiHidden/>
    <w:rsid w:val="001E3369"/>
    <w:rPr>
      <w:b/>
      <w:bCs/>
    </w:rPr>
  </w:style>
  <w:style w:type="paragraph" w:styleId="Revision">
    <w:name w:val="Revision"/>
    <w:hidden/>
    <w:uiPriority w:val="99"/>
    <w:semiHidden/>
    <w:rsid w:val="001E3369"/>
    <w:pPr>
      <w:ind w:firstLine="0"/>
    </w:pPr>
    <w:rPr>
      <w:lang w:eastAsia="en-AU"/>
    </w:rPr>
  </w:style>
  <w:style w:type="table" w:customStyle="1" w:styleId="LightShading-Accent31">
    <w:name w:val="Light Shading - Accent 31"/>
    <w:basedOn w:val="TableNormal"/>
    <w:next w:val="LightShading-Accent3"/>
    <w:uiPriority w:val="60"/>
    <w:rsid w:val="007C711C"/>
    <w:pPr>
      <w:ind w:firstLine="0"/>
    </w:pPr>
    <w:rPr>
      <w:rFonts w:ascii="Times New Roman" w:eastAsia="MS Mincho" w:hAnsi="Times New Roman" w:cs="Times New Roman"/>
      <w:color w:val="76923C"/>
      <w:sz w:val="20"/>
      <w:szCs w:val="20"/>
      <w:lang w:val="en-AU" w:eastAsia="en-AU"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7C711C"/>
    <w:rPr>
      <w:color w:val="14415C" w:themeColor="accent3" w:themeShade="BF"/>
    </w:rPr>
    <w:tblPr>
      <w:tblStyleRowBandSize w:val="1"/>
      <w:tblStyleColBandSize w:val="1"/>
      <w:tblInd w:w="0" w:type="dxa"/>
      <w:tblBorders>
        <w:top w:val="single" w:sz="8" w:space="0" w:color="1B587C" w:themeColor="accent3"/>
        <w:bottom w:val="single" w:sz="8" w:space="0" w:color="1B587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envcomm.act.gov.au/actsoe201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environmentcommissioner.act.gov.au/ecological-footpri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Warren%20Geeves\AppData\Local\Microsoft\Windows\Temporary%20Internet%20Files\Content.Outlook\K0MIIT7D\ACT%20EF%20Results%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Warren%20Geeves\AppData\Local\Microsoft\Windows\Temporary%20Internet%20Files\Content.Outlook\K0MIIT7D\ACT%20EF%20Results%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manualLayout>
          <c:layoutTarget val="inner"/>
          <c:xMode val="edge"/>
          <c:yMode val="edge"/>
          <c:x val="0.17954062805549584"/>
          <c:y val="2.751553825288568E-2"/>
          <c:w val="0.59472700022262359"/>
          <c:h val="0.89198665222609363"/>
        </c:manualLayout>
      </c:layout>
      <c:barChart>
        <c:barDir val="col"/>
        <c:grouping val="stacked"/>
        <c:ser>
          <c:idx val="0"/>
          <c:order val="0"/>
          <c:tx>
            <c:strRef>
              <c:f>'Exec Summary'!$A$2</c:f>
              <c:strCache>
                <c:ptCount val="1"/>
                <c:pt idx="0">
                  <c:v>Food</c:v>
                </c:pt>
              </c:strCache>
            </c:strRef>
          </c:tx>
          <c:cat>
            <c:strRef>
              <c:f>'Exec Summary'!$B$1:$E$1</c:f>
              <c:strCache>
                <c:ptCount val="4"/>
                <c:pt idx="0">
                  <c:v>ACT 99</c:v>
                </c:pt>
                <c:pt idx="1">
                  <c:v>ACT 04</c:v>
                </c:pt>
                <c:pt idx="2">
                  <c:v>ACT 09</c:v>
                </c:pt>
                <c:pt idx="3">
                  <c:v>ACT 12</c:v>
                </c:pt>
              </c:strCache>
            </c:strRef>
          </c:cat>
          <c:val>
            <c:numRef>
              <c:f>'Exec Summary'!$B$2:$E$2</c:f>
              <c:numCache>
                <c:formatCode>0.00</c:formatCode>
                <c:ptCount val="4"/>
                <c:pt idx="0">
                  <c:v>1.5997739850437884</c:v>
                </c:pt>
                <c:pt idx="1">
                  <c:v>1.8387350785854979</c:v>
                </c:pt>
                <c:pt idx="2">
                  <c:v>2.1297110033986</c:v>
                </c:pt>
                <c:pt idx="3">
                  <c:v>2.1582167714906642</c:v>
                </c:pt>
              </c:numCache>
            </c:numRef>
          </c:val>
        </c:ser>
        <c:ser>
          <c:idx val="1"/>
          <c:order val="1"/>
          <c:tx>
            <c:strRef>
              <c:f>'Exec Summary'!$A$3</c:f>
              <c:strCache>
                <c:ptCount val="1"/>
                <c:pt idx="0">
                  <c:v>Shelter</c:v>
                </c:pt>
              </c:strCache>
            </c:strRef>
          </c:tx>
          <c:cat>
            <c:strRef>
              <c:f>'Exec Summary'!$B$1:$E$1</c:f>
              <c:strCache>
                <c:ptCount val="4"/>
                <c:pt idx="0">
                  <c:v>ACT 99</c:v>
                </c:pt>
                <c:pt idx="1">
                  <c:v>ACT 04</c:v>
                </c:pt>
                <c:pt idx="2">
                  <c:v>ACT 09</c:v>
                </c:pt>
                <c:pt idx="3">
                  <c:v>ACT 12</c:v>
                </c:pt>
              </c:strCache>
            </c:strRef>
          </c:cat>
          <c:val>
            <c:numRef>
              <c:f>'Exec Summary'!$B$3:$E$3</c:f>
              <c:numCache>
                <c:formatCode>0.00</c:formatCode>
                <c:ptCount val="4"/>
                <c:pt idx="0">
                  <c:v>0.46856957693279422</c:v>
                </c:pt>
                <c:pt idx="1">
                  <c:v>0.54899914251709336</c:v>
                </c:pt>
                <c:pt idx="2">
                  <c:v>0.6357907348958538</c:v>
                </c:pt>
                <c:pt idx="3">
                  <c:v>0.52826741763604834</c:v>
                </c:pt>
              </c:numCache>
            </c:numRef>
          </c:val>
        </c:ser>
        <c:ser>
          <c:idx val="2"/>
          <c:order val="2"/>
          <c:tx>
            <c:strRef>
              <c:f>'Exec Summary'!$A$4</c:f>
              <c:strCache>
                <c:ptCount val="1"/>
                <c:pt idx="0">
                  <c:v>Energy Use</c:v>
                </c:pt>
              </c:strCache>
            </c:strRef>
          </c:tx>
          <c:cat>
            <c:strRef>
              <c:f>'Exec Summary'!$B$1:$E$1</c:f>
              <c:strCache>
                <c:ptCount val="4"/>
                <c:pt idx="0">
                  <c:v>ACT 99</c:v>
                </c:pt>
                <c:pt idx="1">
                  <c:v>ACT 04</c:v>
                </c:pt>
                <c:pt idx="2">
                  <c:v>ACT 09</c:v>
                </c:pt>
                <c:pt idx="3">
                  <c:v>ACT 12</c:v>
                </c:pt>
              </c:strCache>
            </c:strRef>
          </c:cat>
          <c:val>
            <c:numRef>
              <c:f>'Exec Summary'!$B$4:$E$4</c:f>
              <c:numCache>
                <c:formatCode>0.00</c:formatCode>
                <c:ptCount val="4"/>
                <c:pt idx="0">
                  <c:v>1.1005436183486457</c:v>
                </c:pt>
                <c:pt idx="1">
                  <c:v>1.3074433631297673</c:v>
                </c:pt>
                <c:pt idx="2">
                  <c:v>1.147627049387117</c:v>
                </c:pt>
                <c:pt idx="3">
                  <c:v>1.2119215839988198</c:v>
                </c:pt>
              </c:numCache>
            </c:numRef>
          </c:val>
        </c:ser>
        <c:ser>
          <c:idx val="3"/>
          <c:order val="3"/>
          <c:tx>
            <c:strRef>
              <c:f>'Exec Summary'!$A$5</c:f>
              <c:strCache>
                <c:ptCount val="1"/>
                <c:pt idx="0">
                  <c:v>Mobility</c:v>
                </c:pt>
              </c:strCache>
            </c:strRef>
          </c:tx>
          <c:cat>
            <c:strRef>
              <c:f>'Exec Summary'!$B$1:$E$1</c:f>
              <c:strCache>
                <c:ptCount val="4"/>
                <c:pt idx="0">
                  <c:v>ACT 99</c:v>
                </c:pt>
                <c:pt idx="1">
                  <c:v>ACT 04</c:v>
                </c:pt>
                <c:pt idx="2">
                  <c:v>ACT 09</c:v>
                </c:pt>
                <c:pt idx="3">
                  <c:v>ACT 12</c:v>
                </c:pt>
              </c:strCache>
            </c:strRef>
          </c:cat>
          <c:val>
            <c:numRef>
              <c:f>'Exec Summary'!$B$5:$E$5</c:f>
              <c:numCache>
                <c:formatCode>0.00</c:formatCode>
                <c:ptCount val="4"/>
                <c:pt idx="0">
                  <c:v>0.85730725958073983</c:v>
                </c:pt>
                <c:pt idx="1">
                  <c:v>1.0293107853334538</c:v>
                </c:pt>
                <c:pt idx="2">
                  <c:v>1.0716355585843538</c:v>
                </c:pt>
                <c:pt idx="3">
                  <c:v>1.1390595343417829</c:v>
                </c:pt>
              </c:numCache>
            </c:numRef>
          </c:val>
        </c:ser>
        <c:ser>
          <c:idx val="4"/>
          <c:order val="4"/>
          <c:tx>
            <c:strRef>
              <c:f>'Exec Summary'!$A$6</c:f>
              <c:strCache>
                <c:ptCount val="1"/>
                <c:pt idx="0">
                  <c:v>Goods</c:v>
                </c:pt>
              </c:strCache>
            </c:strRef>
          </c:tx>
          <c:cat>
            <c:strRef>
              <c:f>'Exec Summary'!$B$1:$E$1</c:f>
              <c:strCache>
                <c:ptCount val="4"/>
                <c:pt idx="0">
                  <c:v>ACT 99</c:v>
                </c:pt>
                <c:pt idx="1">
                  <c:v>ACT 04</c:v>
                </c:pt>
                <c:pt idx="2">
                  <c:v>ACT 09</c:v>
                </c:pt>
                <c:pt idx="3">
                  <c:v>ACT 12</c:v>
                </c:pt>
              </c:strCache>
            </c:strRef>
          </c:cat>
          <c:val>
            <c:numRef>
              <c:f>'Exec Summary'!$B$6:$E$6</c:f>
              <c:numCache>
                <c:formatCode>0.00</c:formatCode>
                <c:ptCount val="4"/>
                <c:pt idx="0">
                  <c:v>1.199250062204114</c:v>
                </c:pt>
                <c:pt idx="1">
                  <c:v>1.5101992228660814</c:v>
                </c:pt>
                <c:pt idx="2">
                  <c:v>1.7197726353978617</c:v>
                </c:pt>
                <c:pt idx="3">
                  <c:v>1.5062432531995478</c:v>
                </c:pt>
              </c:numCache>
            </c:numRef>
          </c:val>
        </c:ser>
        <c:ser>
          <c:idx val="5"/>
          <c:order val="5"/>
          <c:tx>
            <c:strRef>
              <c:f>'Exec Summary'!$A$7</c:f>
              <c:strCache>
                <c:ptCount val="1"/>
                <c:pt idx="0">
                  <c:v>Services</c:v>
                </c:pt>
              </c:strCache>
            </c:strRef>
          </c:tx>
          <c:cat>
            <c:strRef>
              <c:f>'Exec Summary'!$B$1:$E$1</c:f>
              <c:strCache>
                <c:ptCount val="4"/>
                <c:pt idx="0">
                  <c:v>ACT 99</c:v>
                </c:pt>
                <c:pt idx="1">
                  <c:v>ACT 04</c:v>
                </c:pt>
                <c:pt idx="2">
                  <c:v>ACT 09</c:v>
                </c:pt>
                <c:pt idx="3">
                  <c:v>ACT 12</c:v>
                </c:pt>
              </c:strCache>
            </c:strRef>
          </c:cat>
          <c:val>
            <c:numRef>
              <c:f>'Exec Summary'!$B$7:$E$7</c:f>
              <c:numCache>
                <c:formatCode>0.00</c:formatCode>
                <c:ptCount val="4"/>
                <c:pt idx="0">
                  <c:v>1.8264607853485704</c:v>
                </c:pt>
                <c:pt idx="1">
                  <c:v>1.871138321621302</c:v>
                </c:pt>
                <c:pt idx="2">
                  <c:v>2.0919823331925747</c:v>
                </c:pt>
                <c:pt idx="3">
                  <c:v>1.9662914393331441</c:v>
                </c:pt>
              </c:numCache>
            </c:numRef>
          </c:val>
        </c:ser>
        <c:ser>
          <c:idx val="6"/>
          <c:order val="6"/>
          <c:tx>
            <c:strRef>
              <c:f>'Exec Summary'!$A$8</c:f>
              <c:strCache>
                <c:ptCount val="1"/>
                <c:pt idx="0">
                  <c:v>Other</c:v>
                </c:pt>
              </c:strCache>
            </c:strRef>
          </c:tx>
          <c:cat>
            <c:strRef>
              <c:f>'Exec Summary'!$B$1:$E$1</c:f>
              <c:strCache>
                <c:ptCount val="4"/>
                <c:pt idx="0">
                  <c:v>ACT 99</c:v>
                </c:pt>
                <c:pt idx="1">
                  <c:v>ACT 04</c:v>
                </c:pt>
                <c:pt idx="2">
                  <c:v>ACT 09</c:v>
                </c:pt>
                <c:pt idx="3">
                  <c:v>ACT 12</c:v>
                </c:pt>
              </c:strCache>
            </c:strRef>
          </c:cat>
          <c:val>
            <c:numRef>
              <c:f>'Exec Summary'!$B$8:$E$8</c:f>
              <c:numCache>
                <c:formatCode>0.00</c:formatCode>
                <c:ptCount val="4"/>
                <c:pt idx="0">
                  <c:v>0.32786859340618124</c:v>
                </c:pt>
                <c:pt idx="1">
                  <c:v>0.39925587996658846</c:v>
                </c:pt>
                <c:pt idx="2">
                  <c:v>0.41277474306737139</c:v>
                </c:pt>
                <c:pt idx="3">
                  <c:v>0.39000000000000107</c:v>
                </c:pt>
              </c:numCache>
            </c:numRef>
          </c:val>
        </c:ser>
        <c:gapWidth val="100"/>
        <c:overlap val="100"/>
        <c:axId val="188996608"/>
        <c:axId val="189788928"/>
      </c:barChart>
      <c:catAx>
        <c:axId val="188996608"/>
        <c:scaling>
          <c:orientation val="minMax"/>
        </c:scaling>
        <c:axPos val="b"/>
        <c:numFmt formatCode="General" sourceLinked="1"/>
        <c:tickLblPos val="nextTo"/>
        <c:txPr>
          <a:bodyPr rot="0" vert="horz"/>
          <a:lstStyle/>
          <a:p>
            <a:pPr>
              <a:defRPr sz="900" b="0" i="0" u="none" strike="noStrike" baseline="0">
                <a:solidFill>
                  <a:srgbClr val="000000"/>
                </a:solidFill>
                <a:latin typeface="Calibri"/>
                <a:ea typeface="Calibri"/>
                <a:cs typeface="Calibri"/>
              </a:defRPr>
            </a:pPr>
            <a:endParaRPr lang="en-US"/>
          </a:p>
        </c:txPr>
        <c:crossAx val="189788928"/>
        <c:crossesAt val="0"/>
        <c:auto val="1"/>
        <c:lblAlgn val="ctr"/>
        <c:lblOffset val="100"/>
      </c:catAx>
      <c:valAx>
        <c:axId val="189788928"/>
        <c:scaling>
          <c:orientation val="minMax"/>
          <c:min val="0"/>
        </c:scaling>
        <c:axPos val="l"/>
        <c:majorGridlines/>
        <c:title>
          <c:tx>
            <c:rich>
              <a:bodyPr/>
              <a:lstStyle/>
              <a:p>
                <a:pPr>
                  <a:defRPr sz="1000" b="0" i="0" u="none" strike="noStrike" baseline="0">
                    <a:solidFill>
                      <a:srgbClr val="000000"/>
                    </a:solidFill>
                    <a:latin typeface="Calibri"/>
                    <a:ea typeface="Calibri"/>
                    <a:cs typeface="Calibri"/>
                  </a:defRPr>
                </a:pPr>
                <a:r>
                  <a:rPr lang="en-AU" sz="1000"/>
                  <a:t>Ecological Footprint per capita (gha/cap)</a:t>
                </a:r>
              </a:p>
            </c:rich>
          </c:tx>
          <c:layout>
            <c:manualLayout>
              <c:xMode val="edge"/>
              <c:yMode val="edge"/>
              <c:x val="2.7706270368984674E-2"/>
              <c:y val="0.18216719338236562"/>
            </c:manualLayout>
          </c:layout>
        </c:title>
        <c:numFmt formatCode="0" sourceLinked="0"/>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88996608"/>
        <c:crosses val="autoZero"/>
        <c:crossBetween val="between"/>
      </c:valAx>
      <c:spPr>
        <a:ln w="6350" cmpd="sng">
          <a:solidFill>
            <a:schemeClr val="bg1">
              <a:lumMod val="50000"/>
            </a:schemeClr>
          </a:solidFill>
        </a:ln>
      </c:spPr>
    </c:plotArea>
    <c:legend>
      <c:legendPos val="r"/>
      <c:txPr>
        <a:bodyPr/>
        <a:lstStyle/>
        <a:p>
          <a:pPr>
            <a:defRPr sz="90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style val="18"/>
  <c:chart>
    <c:plotArea>
      <c:layout>
        <c:manualLayout>
          <c:layoutTarget val="inner"/>
          <c:xMode val="edge"/>
          <c:yMode val="edge"/>
          <c:x val="0.15264879813291951"/>
          <c:y val="3.2447683170038551E-2"/>
          <c:w val="0.59478848350063107"/>
          <c:h val="0.87367134542964764"/>
        </c:manualLayout>
      </c:layout>
      <c:barChart>
        <c:barDir val="col"/>
        <c:grouping val="stacked"/>
        <c:ser>
          <c:idx val="0"/>
          <c:order val="0"/>
          <c:tx>
            <c:strRef>
              <c:f>'Fig 3'!$A$4</c:f>
              <c:strCache>
                <c:ptCount val="1"/>
                <c:pt idx="0">
                  <c:v>Cropland</c:v>
                </c:pt>
              </c:strCache>
            </c:strRef>
          </c:tx>
          <c:cat>
            <c:strRef>
              <c:f>'Fig 3'!$C$3:$F$3</c:f>
              <c:strCache>
                <c:ptCount val="4"/>
                <c:pt idx="0">
                  <c:v>ACT 04</c:v>
                </c:pt>
                <c:pt idx="1">
                  <c:v>ACT 09</c:v>
                </c:pt>
                <c:pt idx="2">
                  <c:v>ACT 12</c:v>
                </c:pt>
                <c:pt idx="3">
                  <c:v>AUS 12</c:v>
                </c:pt>
              </c:strCache>
            </c:strRef>
          </c:cat>
          <c:val>
            <c:numRef>
              <c:f>'Fig 3'!$C$4:$F$4</c:f>
              <c:numCache>
                <c:formatCode>0.00</c:formatCode>
                <c:ptCount val="4"/>
                <c:pt idx="0">
                  <c:v>0.87428760367532965</c:v>
                </c:pt>
                <c:pt idx="1">
                  <c:v>0.94258993821257964</c:v>
                </c:pt>
                <c:pt idx="2">
                  <c:v>1.1387757511566581</c:v>
                </c:pt>
                <c:pt idx="3">
                  <c:v>1.0878707860166019</c:v>
                </c:pt>
              </c:numCache>
            </c:numRef>
          </c:val>
        </c:ser>
        <c:ser>
          <c:idx val="1"/>
          <c:order val="1"/>
          <c:tx>
            <c:strRef>
              <c:f>'Fig 3'!$A$5</c:f>
              <c:strCache>
                <c:ptCount val="1"/>
                <c:pt idx="0">
                  <c:v>Pasture</c:v>
                </c:pt>
              </c:strCache>
            </c:strRef>
          </c:tx>
          <c:cat>
            <c:strRef>
              <c:f>'Fig 3'!$C$3:$F$3</c:f>
              <c:strCache>
                <c:ptCount val="4"/>
                <c:pt idx="0">
                  <c:v>ACT 04</c:v>
                </c:pt>
                <c:pt idx="1">
                  <c:v>ACT 09</c:v>
                </c:pt>
                <c:pt idx="2">
                  <c:v>ACT 12</c:v>
                </c:pt>
                <c:pt idx="3">
                  <c:v>AUS 12</c:v>
                </c:pt>
              </c:strCache>
            </c:strRef>
          </c:cat>
          <c:val>
            <c:numRef>
              <c:f>'Fig 3'!$C$5:$F$5</c:f>
              <c:numCache>
                <c:formatCode>0.00</c:formatCode>
                <c:ptCount val="4"/>
                <c:pt idx="0">
                  <c:v>0.89455414941316858</c:v>
                </c:pt>
                <c:pt idx="1">
                  <c:v>0.98620770995379459</c:v>
                </c:pt>
                <c:pt idx="2">
                  <c:v>0.99707007294701566</c:v>
                </c:pt>
                <c:pt idx="3">
                  <c:v>0.92701467564213291</c:v>
                </c:pt>
              </c:numCache>
            </c:numRef>
          </c:val>
        </c:ser>
        <c:ser>
          <c:idx val="2"/>
          <c:order val="2"/>
          <c:tx>
            <c:strRef>
              <c:f>'Fig 3'!$A$6</c:f>
              <c:strCache>
                <c:ptCount val="1"/>
                <c:pt idx="0">
                  <c:v>Forests</c:v>
                </c:pt>
              </c:strCache>
            </c:strRef>
          </c:tx>
          <c:cat>
            <c:strRef>
              <c:f>'Fig 3'!$C$3:$F$3</c:f>
              <c:strCache>
                <c:ptCount val="4"/>
                <c:pt idx="0">
                  <c:v>ACT 04</c:v>
                </c:pt>
                <c:pt idx="1">
                  <c:v>ACT 09</c:v>
                </c:pt>
                <c:pt idx="2">
                  <c:v>ACT 12</c:v>
                </c:pt>
                <c:pt idx="3">
                  <c:v>AUS 12</c:v>
                </c:pt>
              </c:strCache>
            </c:strRef>
          </c:cat>
          <c:val>
            <c:numRef>
              <c:f>'Fig 3'!$C$6:$F$6</c:f>
              <c:numCache>
                <c:formatCode>0.00</c:formatCode>
                <c:ptCount val="4"/>
                <c:pt idx="0">
                  <c:v>1.5643477976272735</c:v>
                </c:pt>
                <c:pt idx="1">
                  <c:v>1.749926944009661</c:v>
                </c:pt>
                <c:pt idx="2">
                  <c:v>1.4477154649836281</c:v>
                </c:pt>
                <c:pt idx="3">
                  <c:v>1.3260777614909247</c:v>
                </c:pt>
              </c:numCache>
            </c:numRef>
          </c:val>
        </c:ser>
        <c:ser>
          <c:idx val="3"/>
          <c:order val="3"/>
          <c:tx>
            <c:strRef>
              <c:f>'Fig 3'!$A$7</c:f>
              <c:strCache>
                <c:ptCount val="1"/>
                <c:pt idx="0">
                  <c:v>Energy land</c:v>
                </c:pt>
              </c:strCache>
            </c:strRef>
          </c:tx>
          <c:cat>
            <c:strRef>
              <c:f>'Fig 3'!$C$3:$F$3</c:f>
              <c:strCache>
                <c:ptCount val="4"/>
                <c:pt idx="0">
                  <c:v>ACT 04</c:v>
                </c:pt>
                <c:pt idx="1">
                  <c:v>ACT 09</c:v>
                </c:pt>
                <c:pt idx="2">
                  <c:v>ACT 12</c:v>
                </c:pt>
                <c:pt idx="3">
                  <c:v>AUS 12</c:v>
                </c:pt>
              </c:strCache>
            </c:strRef>
          </c:cat>
          <c:val>
            <c:numRef>
              <c:f>'Fig 3'!$C$7:$F$7</c:f>
              <c:numCache>
                <c:formatCode>0.00</c:formatCode>
                <c:ptCount val="4"/>
                <c:pt idx="0">
                  <c:v>4.9432782708446643</c:v>
                </c:pt>
                <c:pt idx="1">
                  <c:v>5.2403839445732991</c:v>
                </c:pt>
                <c:pt idx="2">
                  <c:v>5.0770375602408455</c:v>
                </c:pt>
                <c:pt idx="3">
                  <c:v>4.6294617942332534</c:v>
                </c:pt>
              </c:numCache>
            </c:numRef>
          </c:val>
        </c:ser>
        <c:ser>
          <c:idx val="4"/>
          <c:order val="4"/>
          <c:tx>
            <c:strRef>
              <c:f>'Fig 3'!$A$8</c:f>
              <c:strCache>
                <c:ptCount val="1"/>
                <c:pt idx="0">
                  <c:v>Built land</c:v>
                </c:pt>
              </c:strCache>
            </c:strRef>
          </c:tx>
          <c:cat>
            <c:strRef>
              <c:f>'Fig 3'!$C$3:$F$3</c:f>
              <c:strCache>
                <c:ptCount val="4"/>
                <c:pt idx="0">
                  <c:v>ACT 04</c:v>
                </c:pt>
                <c:pt idx="1">
                  <c:v>ACT 09</c:v>
                </c:pt>
                <c:pt idx="2">
                  <c:v>ACT 12</c:v>
                </c:pt>
                <c:pt idx="3">
                  <c:v>AUS 12</c:v>
                </c:pt>
              </c:strCache>
            </c:strRef>
          </c:cat>
          <c:val>
            <c:numRef>
              <c:f>'Fig 3'!$C$8:$F$8</c:f>
              <c:numCache>
                <c:formatCode>0.00</c:formatCode>
                <c:ptCount val="4"/>
                <c:pt idx="0">
                  <c:v>0.22626094386335491</c:v>
                </c:pt>
                <c:pt idx="1">
                  <c:v>0.25083409837187032</c:v>
                </c:pt>
                <c:pt idx="2">
                  <c:v>0.22615889758631444</c:v>
                </c:pt>
                <c:pt idx="3">
                  <c:v>0.19055007242178237</c:v>
                </c:pt>
              </c:numCache>
            </c:numRef>
          </c:val>
        </c:ser>
        <c:ser>
          <c:idx val="5"/>
          <c:order val="5"/>
          <c:tx>
            <c:strRef>
              <c:f>'Fig 3'!$A$9</c:f>
              <c:strCache>
                <c:ptCount val="1"/>
                <c:pt idx="0">
                  <c:v>Water</c:v>
                </c:pt>
              </c:strCache>
            </c:strRef>
          </c:tx>
          <c:cat>
            <c:strRef>
              <c:f>'Fig 3'!$C$3:$F$3</c:f>
              <c:strCache>
                <c:ptCount val="4"/>
                <c:pt idx="0">
                  <c:v>ACT 04</c:v>
                </c:pt>
                <c:pt idx="1">
                  <c:v>ACT 09</c:v>
                </c:pt>
                <c:pt idx="2">
                  <c:v>ACT 12</c:v>
                </c:pt>
                <c:pt idx="3">
                  <c:v>AUS 12</c:v>
                </c:pt>
              </c:strCache>
            </c:strRef>
          </c:cat>
          <c:val>
            <c:numRef>
              <c:f>'Fig 3'!$C$9:$F$9</c:f>
              <c:numCache>
                <c:formatCode>0.000</c:formatCode>
                <c:ptCount val="4"/>
                <c:pt idx="0">
                  <c:v>2.3530285960087008E-3</c:v>
                </c:pt>
                <c:pt idx="1">
                  <c:v>2.5781062989043476E-3</c:v>
                </c:pt>
                <c:pt idx="2">
                  <c:v>2.3439852906948213E-3</c:v>
                </c:pt>
                <c:pt idx="3">
                  <c:v>1.8379863894455895E-3</c:v>
                </c:pt>
              </c:numCache>
            </c:numRef>
          </c:val>
        </c:ser>
        <c:gapWidth val="100"/>
        <c:overlap val="100"/>
        <c:axId val="46612864"/>
        <c:axId val="46614400"/>
      </c:barChart>
      <c:catAx>
        <c:axId val="46612864"/>
        <c:scaling>
          <c:orientation val="minMax"/>
        </c:scaling>
        <c:axPos val="b"/>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6614400"/>
        <c:crosses val="autoZero"/>
        <c:auto val="1"/>
        <c:lblAlgn val="ctr"/>
        <c:lblOffset val="100"/>
      </c:catAx>
      <c:valAx>
        <c:axId val="46614400"/>
        <c:scaling>
          <c:orientation val="minMax"/>
        </c:scaling>
        <c:axPos val="l"/>
        <c:majorGridlines/>
        <c:title>
          <c:tx>
            <c:rich>
              <a:bodyPr/>
              <a:lstStyle/>
              <a:p>
                <a:pPr>
                  <a:defRPr sz="1000" b="1" i="0" u="none" strike="noStrike" baseline="0">
                    <a:solidFill>
                      <a:srgbClr val="000000"/>
                    </a:solidFill>
                    <a:latin typeface="Calibri"/>
                    <a:ea typeface="Calibri"/>
                    <a:cs typeface="Calibri"/>
                  </a:defRPr>
                </a:pPr>
                <a:r>
                  <a:rPr lang="en-AU"/>
                  <a:t>Ecological footprint (gha/cap)</a:t>
                </a:r>
              </a:p>
            </c:rich>
          </c:tx>
          <c:spPr>
            <a:noFill/>
            <a:ln w="25400">
              <a:noFill/>
            </a:ln>
          </c:spPr>
        </c:title>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46612864"/>
        <c:crosses val="autoZero"/>
        <c:crossBetween val="between"/>
      </c:valAx>
    </c:plotArea>
    <c:legend>
      <c:legendPos val="r"/>
      <c:layout>
        <c:manualLayout>
          <c:xMode val="edge"/>
          <c:yMode val="edge"/>
          <c:x val="0.75415090928360795"/>
          <c:y val="0.31521739130435106"/>
          <c:w val="0.22951378108615361"/>
          <c:h val="0.45604510743501325"/>
        </c:manualLayout>
      </c:layout>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0.59904</cdr:x>
      <cdr:y>0.03204</cdr:y>
    </cdr:from>
    <cdr:to>
      <cdr:x>0.60056</cdr:x>
      <cdr:y>0.90574</cdr:y>
    </cdr:to>
    <cdr:cxnSp macro="">
      <cdr:nvCxnSpPr>
        <cdr:cNvPr id="3" name="Straight Connector 2"/>
        <cdr:cNvCxnSpPr/>
      </cdr:nvCxnSpPr>
      <cdr:spPr>
        <a:xfrm xmlns:a="http://schemas.openxmlformats.org/drawingml/2006/main" flipH="1">
          <a:off x="3754776" y="148682"/>
          <a:ext cx="9528" cy="4053999"/>
        </a:xfrm>
        <a:prstGeom xmlns:a="http://schemas.openxmlformats.org/drawingml/2006/main" prst="line">
          <a:avLst/>
        </a:prstGeom>
        <a:ln xmlns:a="http://schemas.openxmlformats.org/drawingml/2006/main" w="317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Slade</dc:creator>
  <cp:lastModifiedBy>Ann lyons wright</cp:lastModifiedBy>
  <cp:revision>23</cp:revision>
  <dcterms:created xsi:type="dcterms:W3CDTF">2016-01-29T03:18:00Z</dcterms:created>
  <dcterms:modified xsi:type="dcterms:W3CDTF">2016-02-16T00:38:00Z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A11678741</vt:lpwstr>
  </property>
  <property fmtid="{D5CDD505-2E9C-101B-9397-08002B2CF9AE}" pid="4" name="Objective-Title">
    <vt:lpwstr>EcologicalFootprint_ fact sheetV212022016</vt:lpwstr>
  </property>
  <property fmtid="{D5CDD505-2E9C-101B-9397-08002B2CF9AE}" pid="5" name="Objective-Comment">
    <vt:lpwstr/>
  </property>
  <property fmtid="{D5CDD505-2E9C-101B-9397-08002B2CF9AE}" pid="6" name="Objective-CreationStamp">
    <vt:filetime>2016-01-29T04:01:18Z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2016-02-16T01:07:14Z</vt:filetime>
  </property>
  <property fmtid="{D5CDD505-2E9C-101B-9397-08002B2CF9AE}" pid="10" name="Objective-ModificationStamp">
    <vt:filetime>2016-02-16T01:07:15Z</vt:filetime>
  </property>
  <property fmtid="{D5CDD505-2E9C-101B-9397-08002B2CF9AE}" pid="11" name="Objective-Owner">
    <vt:lpwstr>Amanda Slade</vt:lpwstr>
  </property>
  <property fmtid="{D5CDD505-2E9C-101B-9397-08002B2CF9AE}" pid="12" name="Objective-Path">
    <vt:lpwstr>Whole of ACT Government:OCSE - Office of the Commissioner for Sustainability and the Environment:13 - OCSE - Reporting:State of Environment Reporting:ACT State of Environment Reporting:2015 SoER:2015 ACTSoER:FACT SHEETS:ECOL. FOOTPRINT:</vt:lpwstr>
  </property>
  <property fmtid="{D5CDD505-2E9C-101B-9397-08002B2CF9AE}" pid="13" name="Objective-Parent">
    <vt:lpwstr>ECOL. FOOTPRINT</vt:lpwstr>
  </property>
  <property fmtid="{D5CDD505-2E9C-101B-9397-08002B2CF9AE}" pid="14" name="Objective-State">
    <vt:lpwstr>Published</vt:lpwstr>
  </property>
  <property fmtid="{D5CDD505-2E9C-101B-9397-08002B2CF9AE}" pid="15" name="Objective-Version">
    <vt:lpwstr>16.0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1-2013/15891</vt:lpwstr>
  </property>
  <property fmtid="{D5CDD505-2E9C-101B-9397-08002B2CF9AE}" pid="19" name="Objective-Classification">
    <vt:lpwstr>Unclassified (beige file cover)</vt:lpwstr>
  </property>
  <property fmtid="{D5CDD505-2E9C-101B-9397-08002B2CF9AE}" pid="20" name="Objective-Caveats">
    <vt:lpwstr/>
  </property>
  <property fmtid="{D5CDD505-2E9C-101B-9397-08002B2CF9AE}" pid="21" name="Objective-Owner Agency [system]">
    <vt:lpwstr>OCSE</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