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73C" w:rsidRPr="00D45FFA" w:rsidRDefault="00753EA6" w:rsidP="00D45FFA">
      <w:pPr>
        <w:pStyle w:val="Heading1"/>
        <w:rPr>
          <w:sz w:val="36"/>
          <w:szCs w:val="36"/>
        </w:rPr>
      </w:pPr>
      <w:r w:rsidRPr="00753EA6">
        <w:rPr>
          <w:sz w:val="36"/>
          <w:szCs w:val="36"/>
        </w:rPr>
        <w:t>AIR</w:t>
      </w:r>
    </w:p>
    <w:p w:rsidR="00193A67" w:rsidRPr="002E637F" w:rsidRDefault="00D738BF" w:rsidP="00191132">
      <w:pPr>
        <w:spacing w:before="240"/>
      </w:pPr>
      <w:r w:rsidRPr="002E637F">
        <w:t>A</w:t>
      </w:r>
      <w:r w:rsidR="00E52CD0" w:rsidRPr="002E637F">
        <w:t xml:space="preserve">ir is essential for sustaining life. The composition of air is the result of the co-evolution of the atmosphere, </w:t>
      </w:r>
      <w:proofErr w:type="spellStart"/>
      <w:r w:rsidR="00E52CD0" w:rsidRPr="002E637F">
        <w:t>geosphere</w:t>
      </w:r>
      <w:proofErr w:type="spellEnd"/>
      <w:r w:rsidR="00E52CD0" w:rsidRPr="002E637F">
        <w:t xml:space="preserve"> and biosphere </w:t>
      </w:r>
      <w:r w:rsidR="00D56612">
        <w:t>over</w:t>
      </w:r>
      <w:r w:rsidR="00D56612" w:rsidRPr="002E637F">
        <w:t xml:space="preserve"> </w:t>
      </w:r>
      <w:r w:rsidR="00E52CD0" w:rsidRPr="002E637F">
        <w:t xml:space="preserve">billions of years. Air </w:t>
      </w:r>
      <w:r w:rsidR="00D56612">
        <w:t>is comprised of</w:t>
      </w:r>
      <w:r w:rsidR="00E52CD0" w:rsidRPr="002E637F">
        <w:t xml:space="preserve"> nitrogen (78%), and oxygen</w:t>
      </w:r>
      <w:r w:rsidR="00D56612">
        <w:t xml:space="preserve"> (21%)</w:t>
      </w:r>
      <w:r w:rsidR="00867500" w:rsidRPr="002E637F">
        <w:t>.</w:t>
      </w:r>
      <w:r w:rsidR="00191132">
        <w:t xml:space="preserve"> </w:t>
      </w:r>
      <w:r w:rsidR="00E52CD0" w:rsidRPr="002E637F">
        <w:t>Good air quality means that the air is clean, clear and unpolluted. Clean air is essential for humans, other animals, vegetation, water and soil. Poor air quality is usually due to pollutant emissions into the air, either from human or other sources. If pollutants reach high enough concentrations they can endanger human health and the environment.</w:t>
      </w:r>
      <w:r w:rsidR="00191132">
        <w:t xml:space="preserve"> </w:t>
      </w:r>
    </w:p>
    <w:p w:rsidR="00193A67" w:rsidRDefault="0011665F" w:rsidP="002E637F">
      <w:pPr>
        <w:pStyle w:val="Heading2"/>
      </w:pPr>
      <w:r>
        <w:t xml:space="preserve">Measuring </w:t>
      </w:r>
      <w:r w:rsidR="00867500">
        <w:t>air quality</w:t>
      </w:r>
    </w:p>
    <w:p w:rsidR="00867500" w:rsidRDefault="00867500" w:rsidP="002E637F">
      <w:r>
        <w:t>In th</w:t>
      </w:r>
      <w:r w:rsidR="002E637F">
        <w:t>e 2015 State of the Environment R</w:t>
      </w:r>
      <w:r>
        <w:t>eport</w:t>
      </w:r>
      <w:r w:rsidR="006610C4">
        <w:t xml:space="preserve"> for the Australian Capital Territory (ACT),</w:t>
      </w:r>
      <w:r>
        <w:t xml:space="preserve"> air quality refers to</w:t>
      </w:r>
      <w:r w:rsidR="002E637F">
        <w:t xml:space="preserve"> the quality of the ambient air</w:t>
      </w:r>
      <w:r w:rsidR="00D47F6E">
        <w:t>. This i</w:t>
      </w:r>
      <w:r>
        <w:t xml:space="preserve">s defined by the </w:t>
      </w:r>
      <w:r w:rsidRPr="00D47F6E">
        <w:rPr>
          <w:i/>
        </w:rPr>
        <w:t>National Environment Protection (Ambient Air Quality) Measure</w:t>
      </w:r>
      <w:r>
        <w:t xml:space="preserve"> (Ambient Air Quality NEPM): ‘Ambient air means the external air </w:t>
      </w:r>
      <w:proofErr w:type="gramStart"/>
      <w:r>
        <w:t>environment,</w:t>
      </w:r>
      <w:proofErr w:type="gramEnd"/>
      <w:r>
        <w:t xml:space="preserve"> it does not include the air environment inside buildings or structures’</w:t>
      </w:r>
      <w:r w:rsidR="002E637F">
        <w:t>.</w:t>
      </w:r>
    </w:p>
    <w:p w:rsidR="00642ABF" w:rsidRDefault="00BC3991" w:rsidP="002E637F">
      <w:r>
        <w:rPr>
          <w:lang w:val="en-AU"/>
        </w:rPr>
        <w:t>The</w:t>
      </w:r>
      <w:r w:rsidR="00642ABF" w:rsidRPr="00BC31EA">
        <w:rPr>
          <w:lang w:val="en-AU"/>
        </w:rPr>
        <w:t xml:space="preserve"> NEPM prescribes targets for levels of emissions of pollutants in ambient air, as well as the methods that should be used to monitor the pollutants</w:t>
      </w:r>
      <w:r w:rsidR="00642ABF">
        <w:rPr>
          <w:lang w:val="en-AU"/>
        </w:rPr>
        <w:t xml:space="preserve">. </w:t>
      </w:r>
      <w:r w:rsidR="00642ABF" w:rsidRPr="00BC31EA">
        <w:rPr>
          <w:lang w:val="en-AU"/>
        </w:rPr>
        <w:t xml:space="preserve">The ACT monitors and reports </w:t>
      </w:r>
      <w:r w:rsidR="00642ABF">
        <w:rPr>
          <w:lang w:val="en-AU"/>
        </w:rPr>
        <w:t>annually</w:t>
      </w:r>
      <w:r w:rsidR="00642ABF" w:rsidRPr="00BC31EA">
        <w:rPr>
          <w:lang w:val="en-AU"/>
        </w:rPr>
        <w:t xml:space="preserve"> on four of these</w:t>
      </w:r>
      <w:r w:rsidR="00642ABF">
        <w:rPr>
          <w:lang w:val="en-AU"/>
        </w:rPr>
        <w:t>:</w:t>
      </w:r>
    </w:p>
    <w:p w:rsidR="0011665F" w:rsidRPr="00F71CDD" w:rsidRDefault="00C23C52" w:rsidP="00F71CDD">
      <w:pPr>
        <w:pStyle w:val="Bullet"/>
      </w:pPr>
      <w:r w:rsidRPr="00F71CDD">
        <w:t>Carbon monoxide</w:t>
      </w:r>
      <w:r w:rsidR="00B34FAC" w:rsidRPr="00F71CDD">
        <w:t xml:space="preserve"> (CO)</w:t>
      </w:r>
      <w:r w:rsidRPr="00F71CDD">
        <w:t xml:space="preserve"> </w:t>
      </w:r>
    </w:p>
    <w:p w:rsidR="0011665F" w:rsidRPr="00F71CDD" w:rsidRDefault="00C23C52" w:rsidP="00F71CDD">
      <w:pPr>
        <w:pStyle w:val="Bullet"/>
      </w:pPr>
      <w:r w:rsidRPr="00F71CDD">
        <w:t>Nitrogen dioxide</w:t>
      </w:r>
      <w:r w:rsidR="003D5BF3" w:rsidRPr="00F71CDD">
        <w:t xml:space="preserve"> </w:t>
      </w:r>
      <w:r w:rsidR="00B34FAC" w:rsidRPr="00F71CDD">
        <w:t>(NO</w:t>
      </w:r>
      <w:r w:rsidR="00B34FAC" w:rsidRPr="00867D1E">
        <w:rPr>
          <w:vertAlign w:val="subscript"/>
        </w:rPr>
        <w:t>2</w:t>
      </w:r>
      <w:r w:rsidR="00B34FAC" w:rsidRPr="00F71CDD">
        <w:t xml:space="preserve">) </w:t>
      </w:r>
    </w:p>
    <w:p w:rsidR="00C23C52" w:rsidRPr="00F71CDD" w:rsidRDefault="00C23C52" w:rsidP="00F71CDD">
      <w:pPr>
        <w:pStyle w:val="Bullet"/>
      </w:pPr>
      <w:r w:rsidRPr="00F71CDD">
        <w:t>Ozon</w:t>
      </w:r>
      <w:r w:rsidR="003D5BF3" w:rsidRPr="00F71CDD">
        <w:t>e</w:t>
      </w:r>
      <w:r w:rsidRPr="00F71CDD">
        <w:t xml:space="preserve"> pollution level </w:t>
      </w:r>
    </w:p>
    <w:p w:rsidR="009B7078" w:rsidRPr="00F71CDD" w:rsidRDefault="009B7078" w:rsidP="00F71CDD">
      <w:pPr>
        <w:pStyle w:val="Bullet"/>
        <w:rPr>
          <w:rStyle w:val="Subscript"/>
          <w:noProof w:val="0"/>
          <w:vertAlign w:val="baseline"/>
        </w:rPr>
      </w:pPr>
      <w:r w:rsidRPr="00F71CDD">
        <w:t>Particulate matter less than 10 micrometres in size (PM</w:t>
      </w:r>
      <w:r w:rsidR="00BC3991" w:rsidRPr="00867D1E">
        <w:rPr>
          <w:vertAlign w:val="subscript"/>
        </w:rPr>
        <w:t>10</w:t>
      </w:r>
      <w:r w:rsidR="00BC3991" w:rsidRPr="00F71CDD">
        <w:t>)</w:t>
      </w:r>
    </w:p>
    <w:p w:rsidR="00C23C52" w:rsidRPr="0060431E" w:rsidRDefault="009B7078" w:rsidP="00F71CDD">
      <w:r>
        <w:t>The ACT chooses to also report on the</w:t>
      </w:r>
      <w:r w:rsidRPr="00BC31EA">
        <w:t xml:space="preserve"> advisory reporting standard for particulate matter less than 2.5 </w:t>
      </w:r>
      <w:proofErr w:type="spellStart"/>
      <w:r w:rsidRPr="00BC31EA">
        <w:t>micrometres</w:t>
      </w:r>
      <w:proofErr w:type="spellEnd"/>
      <w:r w:rsidRPr="00BC31EA">
        <w:t xml:space="preserve"> in size (</w:t>
      </w:r>
      <w:r w:rsidR="00B34FAC" w:rsidRPr="00CD0CFD">
        <w:t>PM</w:t>
      </w:r>
      <w:r w:rsidR="00B34FAC" w:rsidRPr="00867D1E">
        <w:rPr>
          <w:rStyle w:val="Subscript"/>
        </w:rPr>
        <w:t>2.5</w:t>
      </w:r>
      <w:r w:rsidR="003D5BF3" w:rsidRPr="0060431E">
        <w:rPr>
          <w:rStyle w:val="Subscript"/>
          <w:noProof w:val="0"/>
          <w:vertAlign w:val="baseline"/>
        </w:rPr>
        <w:t>)</w:t>
      </w:r>
      <w:r w:rsidR="00D56612">
        <w:rPr>
          <w:rStyle w:val="Subscript"/>
          <w:noProof w:val="0"/>
          <w:vertAlign w:val="baseline"/>
        </w:rPr>
        <w:t>.</w:t>
      </w:r>
      <w:r w:rsidR="003D5BF3" w:rsidRPr="0060431E">
        <w:t xml:space="preserve"> </w:t>
      </w:r>
    </w:p>
    <w:p w:rsidR="00D56612" w:rsidRDefault="0038333A" w:rsidP="00F71CDD">
      <w:r w:rsidRPr="0038333A">
        <w:pict>
          <v:shapetype id="_x0000_t202" coordsize="21600,21600" o:spt="202" path="m,l,21600r21600,l21600,xe">
            <v:stroke joinstyle="miter"/>
            <v:path gradientshapeok="t" o:connecttype="rect"/>
          </v:shapetype>
          <v:shape id="_x0000_s1026" type="#_x0000_t202" style="position:absolute;margin-left:-.75pt;margin-top:44.5pt;width:426.75pt;height:266.05pt;z-index:-251658752" wrapcoords="-79 0 -79 21536 21600 21536 21600 0 -79 0" stroked="f">
            <v:textbox>
              <w:txbxContent>
                <w:p w:rsidR="00BC3991" w:rsidRDefault="00BC3991" w:rsidP="00867D1E">
                  <w:pPr>
                    <w:keepNext/>
                    <w:jc w:val="center"/>
                  </w:pPr>
                  <w:r>
                    <w:rPr>
                      <w:noProof/>
                      <w:lang w:val="en-AU" w:eastAsia="en-AU" w:bidi="ar-SA"/>
                    </w:rPr>
                    <w:drawing>
                      <wp:inline distT="0" distB="0" distL="0" distR="0">
                        <wp:extent cx="4374515" cy="2752725"/>
                        <wp:effectExtent l="19050" t="0" r="6985" b="0"/>
                        <wp:docPr id="2" name="Picture 1" descr="Monash NEPM Monitoring station (A1170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 NEPM Monitoring station (A11708905).JPG"/>
                                <pic:cNvPicPr/>
                              </pic:nvPicPr>
                              <pic:blipFill>
                                <a:blip r:embed="rId7" cstate="email"/>
                                <a:srcRect/>
                                <a:stretch>
                                  <a:fillRect/>
                                </a:stretch>
                              </pic:blipFill>
                              <pic:spPr>
                                <a:xfrm>
                                  <a:off x="0" y="0"/>
                                  <a:ext cx="4374515" cy="2752725"/>
                                </a:xfrm>
                                <a:prstGeom prst="rect">
                                  <a:avLst/>
                                </a:prstGeom>
                              </pic:spPr>
                            </pic:pic>
                          </a:graphicData>
                        </a:graphic>
                      </wp:inline>
                    </w:drawing>
                  </w:r>
                </w:p>
                <w:p w:rsidR="00BD1C65" w:rsidRDefault="00BC3991" w:rsidP="00867D1E">
                  <w:pPr>
                    <w:pStyle w:val="Caption"/>
                    <w:spacing w:before="0" w:after="0"/>
                    <w:ind w:firstLine="720"/>
                  </w:pPr>
                  <w:r>
                    <w:t xml:space="preserve">NEPM Monitoring station at </w:t>
                  </w:r>
                  <w:proofErr w:type="spellStart"/>
                  <w:r>
                    <w:t>Monash</w:t>
                  </w:r>
                  <w:proofErr w:type="spellEnd"/>
                </w:p>
                <w:p w:rsidR="00BD1C65" w:rsidRDefault="00BC3991">
                  <w:pPr>
                    <w:pStyle w:val="Caption"/>
                    <w:spacing w:before="0" w:after="0"/>
                  </w:pPr>
                  <w:r>
                    <w:t xml:space="preserve"> </w:t>
                  </w:r>
                  <w:r w:rsidR="00867D1E">
                    <w:tab/>
                  </w:r>
                  <w:r>
                    <w:t>Photo: ACT Government</w:t>
                  </w:r>
                </w:p>
                <w:p w:rsidR="007016B5" w:rsidRDefault="007016B5" w:rsidP="002E637F"/>
                <w:p w:rsidR="007016B5" w:rsidRDefault="007016B5" w:rsidP="002E637F"/>
              </w:txbxContent>
            </v:textbox>
            <w10:wrap type="tight"/>
          </v:shape>
        </w:pict>
      </w:r>
      <w:r w:rsidR="00E64120">
        <w:t xml:space="preserve">Levels of these pollutants are monitored by ACT Government stations in </w:t>
      </w:r>
      <w:proofErr w:type="spellStart"/>
      <w:r w:rsidR="00E64120">
        <w:t>Monash</w:t>
      </w:r>
      <w:proofErr w:type="spellEnd"/>
      <w:r w:rsidR="00B15332">
        <w:t xml:space="preserve"> (pictured) and</w:t>
      </w:r>
      <w:r w:rsidR="00E64120">
        <w:t xml:space="preserve"> Florey</w:t>
      </w:r>
      <w:r w:rsidR="00B15332">
        <w:t>.</w:t>
      </w:r>
      <w:r w:rsidR="00E64120">
        <w:t xml:space="preserve"> </w:t>
      </w:r>
      <w:r w:rsidR="00B15332">
        <w:t xml:space="preserve">The </w:t>
      </w:r>
      <w:proofErr w:type="spellStart"/>
      <w:r w:rsidR="007B7A2E">
        <w:t>Monash</w:t>
      </w:r>
      <w:proofErr w:type="spellEnd"/>
      <w:r w:rsidR="007B7A2E">
        <w:t xml:space="preserve"> </w:t>
      </w:r>
      <w:r w:rsidR="00567FC7">
        <w:t xml:space="preserve">and Florey </w:t>
      </w:r>
      <w:r w:rsidR="007B7A2E">
        <w:t>station</w:t>
      </w:r>
      <w:r w:rsidR="00567FC7">
        <w:t>s</w:t>
      </w:r>
      <w:r w:rsidR="007B7A2E">
        <w:t xml:space="preserve"> m</w:t>
      </w:r>
      <w:r w:rsidR="00567FC7">
        <w:t>eet the</w:t>
      </w:r>
      <w:r w:rsidR="007B7A2E">
        <w:t xml:space="preserve"> NEPM standards for mon</w:t>
      </w:r>
      <w:r w:rsidR="00567FC7">
        <w:t>i</w:t>
      </w:r>
      <w:r w:rsidR="007B7A2E">
        <w:t>toring air quality</w:t>
      </w:r>
      <w:r w:rsidR="00B15332">
        <w:t xml:space="preserve"> however a third</w:t>
      </w:r>
      <w:r w:rsidR="009B7078">
        <w:t xml:space="preserve"> station at </w:t>
      </w:r>
      <w:r w:rsidR="00B15332">
        <w:t xml:space="preserve">Civic does </w:t>
      </w:r>
      <w:r w:rsidR="00867D1E">
        <w:t xml:space="preserve">not monitor all pollutants </w:t>
      </w:r>
      <w:r w:rsidR="003004A9">
        <w:t>covered by the NEPM.</w:t>
      </w:r>
    </w:p>
    <w:p w:rsidR="00FD7628" w:rsidRDefault="00FD7628">
      <w:pPr>
        <w:spacing w:before="0" w:after="0"/>
        <w:ind w:firstLine="360"/>
        <w:rPr>
          <w:rFonts w:asciiTheme="majorHAnsi" w:eastAsiaTheme="majorEastAsia" w:hAnsiTheme="majorHAnsi" w:cstheme="majorBidi"/>
          <w:color w:val="B35E06" w:themeColor="accent1" w:themeShade="BF"/>
          <w:sz w:val="24"/>
          <w:szCs w:val="24"/>
        </w:rPr>
      </w:pPr>
      <w:r>
        <w:br w:type="page"/>
      </w:r>
    </w:p>
    <w:p w:rsidR="00193A67" w:rsidRDefault="00193A67" w:rsidP="002E637F">
      <w:pPr>
        <w:pStyle w:val="Heading2"/>
      </w:pPr>
      <w:r>
        <w:lastRenderedPageBreak/>
        <w:t>MAIN FINDINGS</w:t>
      </w:r>
    </w:p>
    <w:p w:rsidR="0011665F" w:rsidRDefault="0011665F" w:rsidP="002E637F">
      <w:pPr>
        <w:pStyle w:val="Heading3"/>
      </w:pPr>
      <w:r>
        <w:t xml:space="preserve">State and trends </w:t>
      </w:r>
    </w:p>
    <w:p w:rsidR="007016B5" w:rsidRDefault="007A1745" w:rsidP="00191132">
      <w:pPr>
        <w:rPr>
          <w:lang w:val="en-AU" w:bidi="ar-SA"/>
        </w:rPr>
      </w:pPr>
      <w:r>
        <w:t xml:space="preserve">During the reporting </w:t>
      </w:r>
      <w:r w:rsidR="00FD7628">
        <w:t xml:space="preserve">period </w:t>
      </w:r>
      <w:r w:rsidR="00E64120">
        <w:t xml:space="preserve">most indicators of air </w:t>
      </w:r>
      <w:r w:rsidR="00DC48A2">
        <w:t xml:space="preserve">pollution </w:t>
      </w:r>
      <w:r w:rsidR="00E64120">
        <w:t xml:space="preserve">were </w:t>
      </w:r>
      <w:r w:rsidR="00DC48A2">
        <w:t xml:space="preserve">well </w:t>
      </w:r>
      <w:r w:rsidR="00E64120">
        <w:t xml:space="preserve">within compliance ranges established by the </w:t>
      </w:r>
      <w:r w:rsidR="00E64120">
        <w:rPr>
          <w:lang w:val="en-AU" w:bidi="ar-SA"/>
        </w:rPr>
        <w:t>Ambient Air Quality NEPM</w:t>
      </w:r>
      <w:r w:rsidR="00DC48A2">
        <w:rPr>
          <w:lang w:val="en-AU" w:bidi="ar-SA"/>
        </w:rPr>
        <w:t>, indicating that air quality was good</w:t>
      </w:r>
      <w:r w:rsidR="00E64120">
        <w:rPr>
          <w:lang w:val="en-AU" w:bidi="ar-SA"/>
        </w:rPr>
        <w:t xml:space="preserve">. </w:t>
      </w:r>
      <w:r w:rsidR="007016B5">
        <w:rPr>
          <w:lang w:val="en-AU" w:bidi="ar-SA"/>
        </w:rPr>
        <w:t xml:space="preserve"> Table 1 summarises the</w:t>
      </w:r>
      <w:r w:rsidR="00DC48A2">
        <w:rPr>
          <w:lang w:val="en-AU" w:bidi="ar-SA"/>
        </w:rPr>
        <w:t xml:space="preserve"> results for each pollution indicator.</w:t>
      </w:r>
      <w:r w:rsidR="007016B5">
        <w:rPr>
          <w:lang w:val="en-AU" w:bidi="ar-SA"/>
        </w:rPr>
        <w:t xml:space="preserve"> </w:t>
      </w:r>
    </w:p>
    <w:p w:rsidR="00DC48A2" w:rsidRDefault="00DC48A2" w:rsidP="00191132">
      <w:pPr>
        <w:rPr>
          <w:lang w:val="en-AU" w:bidi="ar-SA"/>
        </w:rPr>
      </w:pPr>
    </w:p>
    <w:p w:rsidR="00DC48A2" w:rsidRPr="00BC3991" w:rsidRDefault="00FD7628" w:rsidP="00191132">
      <w:pPr>
        <w:rPr>
          <w:b/>
          <w:sz w:val="18"/>
          <w:lang w:val="en-AU" w:bidi="ar-SA"/>
        </w:rPr>
      </w:pPr>
      <w:r>
        <w:rPr>
          <w:b/>
          <w:sz w:val="18"/>
          <w:lang w:val="en-AU" w:bidi="ar-SA"/>
        </w:rPr>
        <w:t>Table 1: Results Ambient Air Quality NEPM by pollution indicator 1 July 2011 to 30 June 2015</w:t>
      </w:r>
    </w:p>
    <w:tbl>
      <w:tblPr>
        <w:tblStyle w:val="LightShading-Accent4"/>
        <w:tblW w:w="0" w:type="auto"/>
        <w:tblLook w:val="04A0"/>
      </w:tblPr>
      <w:tblGrid>
        <w:gridCol w:w="2093"/>
        <w:gridCol w:w="2527"/>
        <w:gridCol w:w="2311"/>
        <w:gridCol w:w="2311"/>
      </w:tblGrid>
      <w:tr w:rsidR="00DC48A2" w:rsidRPr="007D2F82" w:rsidTr="00F433F7">
        <w:trPr>
          <w:cnfStyle w:val="100000000000"/>
        </w:trPr>
        <w:tc>
          <w:tcPr>
            <w:cnfStyle w:val="001000000000"/>
            <w:tcW w:w="2093" w:type="dxa"/>
          </w:tcPr>
          <w:p w:rsidR="00DC48A2" w:rsidRPr="007D2F82" w:rsidRDefault="00DC48A2" w:rsidP="00F61A0C">
            <w:pPr>
              <w:spacing w:before="0" w:after="0"/>
              <w:rPr>
                <w:sz w:val="20"/>
              </w:rPr>
            </w:pPr>
            <w:r w:rsidRPr="007D2F82">
              <w:rPr>
                <w:sz w:val="20"/>
              </w:rPr>
              <w:t xml:space="preserve">Air pollutant </w:t>
            </w:r>
          </w:p>
        </w:tc>
        <w:tc>
          <w:tcPr>
            <w:tcW w:w="2527" w:type="dxa"/>
          </w:tcPr>
          <w:p w:rsidR="00DC48A2" w:rsidRPr="007D2F82" w:rsidRDefault="00DC48A2" w:rsidP="00F61A0C">
            <w:pPr>
              <w:spacing w:before="0" w:after="0"/>
              <w:cnfStyle w:val="100000000000"/>
              <w:rPr>
                <w:sz w:val="20"/>
              </w:rPr>
            </w:pPr>
            <w:r w:rsidRPr="007D2F82">
              <w:rPr>
                <w:sz w:val="20"/>
              </w:rPr>
              <w:t>NEPM standard maximum concentration</w:t>
            </w:r>
          </w:p>
        </w:tc>
        <w:tc>
          <w:tcPr>
            <w:tcW w:w="2311" w:type="dxa"/>
          </w:tcPr>
          <w:p w:rsidR="00DC48A2" w:rsidRPr="007D2F82" w:rsidRDefault="00FD7628" w:rsidP="00F61A0C">
            <w:pPr>
              <w:spacing w:before="0" w:after="0"/>
              <w:cnfStyle w:val="100000000000"/>
              <w:rPr>
                <w:sz w:val="20"/>
              </w:rPr>
            </w:pPr>
            <w:r w:rsidRPr="007D2F82">
              <w:rPr>
                <w:sz w:val="20"/>
              </w:rPr>
              <w:t>NEPM Standard Exceedances</w:t>
            </w:r>
          </w:p>
        </w:tc>
        <w:tc>
          <w:tcPr>
            <w:tcW w:w="2311" w:type="dxa"/>
          </w:tcPr>
          <w:p w:rsidR="00DC48A2" w:rsidRPr="007D2F82" w:rsidRDefault="00DC48A2" w:rsidP="00F61A0C">
            <w:pPr>
              <w:spacing w:before="0" w:after="0"/>
              <w:cnfStyle w:val="100000000000"/>
              <w:rPr>
                <w:sz w:val="20"/>
              </w:rPr>
            </w:pPr>
            <w:r w:rsidRPr="007D2F82">
              <w:rPr>
                <w:sz w:val="20"/>
              </w:rPr>
              <w:t xml:space="preserve">Trend in pollution level </w:t>
            </w:r>
          </w:p>
        </w:tc>
      </w:tr>
      <w:tr w:rsidR="00DC48A2" w:rsidRPr="007D2F82" w:rsidTr="00F433F7">
        <w:trPr>
          <w:cnfStyle w:val="000000100000"/>
        </w:trPr>
        <w:tc>
          <w:tcPr>
            <w:cnfStyle w:val="001000000000"/>
            <w:tcW w:w="2093" w:type="dxa"/>
          </w:tcPr>
          <w:p w:rsidR="00DC48A2" w:rsidRPr="007D2F82" w:rsidRDefault="00DC48A2" w:rsidP="00F61A0C">
            <w:pPr>
              <w:spacing w:before="0" w:after="0"/>
              <w:rPr>
                <w:sz w:val="20"/>
              </w:rPr>
            </w:pPr>
            <w:r w:rsidRPr="007D2F82">
              <w:rPr>
                <w:sz w:val="20"/>
              </w:rPr>
              <w:t>Carbon monoxide (CO)</w:t>
            </w:r>
          </w:p>
        </w:tc>
        <w:tc>
          <w:tcPr>
            <w:tcW w:w="2527" w:type="dxa"/>
          </w:tcPr>
          <w:p w:rsidR="00DC48A2" w:rsidRPr="007D2F82" w:rsidRDefault="00DC48A2" w:rsidP="00F61A0C">
            <w:pPr>
              <w:spacing w:before="0" w:after="0"/>
              <w:cnfStyle w:val="000000100000"/>
              <w:rPr>
                <w:sz w:val="20"/>
              </w:rPr>
            </w:pPr>
            <w:r w:rsidRPr="007D2F82">
              <w:rPr>
                <w:sz w:val="20"/>
              </w:rPr>
              <w:t xml:space="preserve">9.00 </w:t>
            </w:r>
            <w:proofErr w:type="spellStart"/>
            <w:r w:rsidRPr="007D2F82">
              <w:rPr>
                <w:sz w:val="20"/>
              </w:rPr>
              <w:t>ppm</w:t>
            </w:r>
            <w:proofErr w:type="spellEnd"/>
            <w:r w:rsidRPr="007D2F82">
              <w:rPr>
                <w:sz w:val="20"/>
              </w:rPr>
              <w:t xml:space="preserve"> over 8 hours</w:t>
            </w:r>
          </w:p>
        </w:tc>
        <w:tc>
          <w:tcPr>
            <w:tcW w:w="2311" w:type="dxa"/>
          </w:tcPr>
          <w:p w:rsidR="00DC48A2" w:rsidRPr="007D2F82" w:rsidRDefault="00DC48A2" w:rsidP="00F61A0C">
            <w:pPr>
              <w:spacing w:before="0" w:after="0"/>
              <w:cnfStyle w:val="000000100000"/>
              <w:rPr>
                <w:sz w:val="20"/>
              </w:rPr>
            </w:pPr>
            <w:r w:rsidRPr="007D2F82">
              <w:rPr>
                <w:sz w:val="20"/>
              </w:rPr>
              <w:t xml:space="preserve">No exceedances </w:t>
            </w:r>
          </w:p>
          <w:p w:rsidR="00DC48A2" w:rsidRPr="007D2F82" w:rsidRDefault="00DC48A2" w:rsidP="00F61A0C">
            <w:pPr>
              <w:spacing w:before="0" w:after="0"/>
              <w:cnfStyle w:val="000000100000"/>
              <w:rPr>
                <w:sz w:val="20"/>
              </w:rPr>
            </w:pPr>
            <w:r w:rsidRPr="007D2F82">
              <w:rPr>
                <w:sz w:val="20"/>
              </w:rPr>
              <w:t xml:space="preserve"> </w:t>
            </w:r>
          </w:p>
        </w:tc>
        <w:tc>
          <w:tcPr>
            <w:tcW w:w="2311" w:type="dxa"/>
          </w:tcPr>
          <w:p w:rsidR="00DC48A2" w:rsidRPr="007D2F82" w:rsidRDefault="00DC48A2" w:rsidP="00F61A0C">
            <w:pPr>
              <w:spacing w:before="0" w:after="0"/>
              <w:cnfStyle w:val="000000100000"/>
              <w:rPr>
                <w:sz w:val="20"/>
              </w:rPr>
            </w:pPr>
            <w:r w:rsidRPr="007D2F82">
              <w:rPr>
                <w:sz w:val="20"/>
              </w:rPr>
              <w:t>Stable, well within NEPM compliance range</w:t>
            </w:r>
          </w:p>
        </w:tc>
      </w:tr>
      <w:tr w:rsidR="00DC48A2" w:rsidRPr="007D2F82" w:rsidTr="00F433F7">
        <w:tc>
          <w:tcPr>
            <w:cnfStyle w:val="001000000000"/>
            <w:tcW w:w="2093" w:type="dxa"/>
          </w:tcPr>
          <w:p w:rsidR="00DC48A2" w:rsidRPr="007D2F82" w:rsidRDefault="00DC48A2" w:rsidP="00F61A0C">
            <w:pPr>
              <w:spacing w:before="0" w:after="0"/>
              <w:rPr>
                <w:sz w:val="20"/>
              </w:rPr>
            </w:pPr>
            <w:r w:rsidRPr="007D2F82">
              <w:rPr>
                <w:sz w:val="20"/>
              </w:rPr>
              <w:t>Nitrogen dioxide (NO</w:t>
            </w:r>
            <w:r w:rsidRPr="007D2F82">
              <w:rPr>
                <w:sz w:val="20"/>
                <w:vertAlign w:val="subscript"/>
              </w:rPr>
              <w:t>2)</w:t>
            </w:r>
          </w:p>
        </w:tc>
        <w:tc>
          <w:tcPr>
            <w:tcW w:w="2527" w:type="dxa"/>
          </w:tcPr>
          <w:p w:rsidR="00DC48A2" w:rsidRPr="007D2F82" w:rsidRDefault="00DC48A2" w:rsidP="00F61A0C">
            <w:pPr>
              <w:spacing w:before="0" w:after="0"/>
              <w:cnfStyle w:val="000000000000"/>
              <w:rPr>
                <w:sz w:val="20"/>
              </w:rPr>
            </w:pPr>
            <w:r w:rsidRPr="007D2F82">
              <w:rPr>
                <w:sz w:val="20"/>
              </w:rPr>
              <w:t xml:space="preserve">0.12 </w:t>
            </w:r>
            <w:proofErr w:type="spellStart"/>
            <w:r w:rsidRPr="007D2F82">
              <w:rPr>
                <w:sz w:val="20"/>
              </w:rPr>
              <w:t>ppm</w:t>
            </w:r>
            <w:proofErr w:type="spellEnd"/>
            <w:r w:rsidRPr="007D2F82">
              <w:rPr>
                <w:sz w:val="20"/>
              </w:rPr>
              <w:t xml:space="preserve"> over 1 hour</w:t>
            </w:r>
          </w:p>
          <w:p w:rsidR="00DC48A2" w:rsidRPr="007D2F82" w:rsidRDefault="00DC48A2" w:rsidP="00F61A0C">
            <w:pPr>
              <w:spacing w:before="0" w:after="0"/>
              <w:cnfStyle w:val="000000000000"/>
              <w:rPr>
                <w:sz w:val="20"/>
              </w:rPr>
            </w:pPr>
          </w:p>
        </w:tc>
        <w:tc>
          <w:tcPr>
            <w:tcW w:w="2311" w:type="dxa"/>
          </w:tcPr>
          <w:p w:rsidR="00DC48A2" w:rsidRPr="007D2F82" w:rsidRDefault="00DC48A2" w:rsidP="00F61A0C">
            <w:pPr>
              <w:spacing w:before="0" w:after="0"/>
              <w:cnfStyle w:val="000000000000"/>
              <w:rPr>
                <w:sz w:val="20"/>
              </w:rPr>
            </w:pPr>
            <w:r w:rsidRPr="007D2F82">
              <w:rPr>
                <w:sz w:val="20"/>
              </w:rPr>
              <w:t xml:space="preserve">No exceedances </w:t>
            </w:r>
          </w:p>
          <w:p w:rsidR="00DC48A2" w:rsidRPr="007D2F82" w:rsidRDefault="00DC48A2" w:rsidP="00F61A0C">
            <w:pPr>
              <w:spacing w:before="0" w:after="0"/>
              <w:cnfStyle w:val="000000000000"/>
              <w:rPr>
                <w:sz w:val="20"/>
              </w:rPr>
            </w:pPr>
          </w:p>
        </w:tc>
        <w:tc>
          <w:tcPr>
            <w:tcW w:w="2311" w:type="dxa"/>
          </w:tcPr>
          <w:p w:rsidR="00DC48A2" w:rsidRPr="007D2F82" w:rsidRDefault="00DC48A2" w:rsidP="00F61A0C">
            <w:pPr>
              <w:spacing w:before="0" w:after="0"/>
              <w:cnfStyle w:val="000000000000"/>
              <w:rPr>
                <w:sz w:val="20"/>
              </w:rPr>
            </w:pPr>
            <w:r w:rsidRPr="007D2F82">
              <w:rPr>
                <w:sz w:val="20"/>
              </w:rPr>
              <w:t>Stable, well within NEPM compliance range</w:t>
            </w:r>
          </w:p>
        </w:tc>
      </w:tr>
      <w:tr w:rsidR="00DC48A2" w:rsidRPr="007D2F82" w:rsidTr="00F433F7">
        <w:trPr>
          <w:cnfStyle w:val="000000100000"/>
        </w:trPr>
        <w:tc>
          <w:tcPr>
            <w:cnfStyle w:val="001000000000"/>
            <w:tcW w:w="2093" w:type="dxa"/>
          </w:tcPr>
          <w:p w:rsidR="00DC48A2" w:rsidRPr="007D2F82" w:rsidRDefault="00DC48A2" w:rsidP="00F61A0C">
            <w:pPr>
              <w:spacing w:before="0" w:after="0"/>
              <w:rPr>
                <w:sz w:val="20"/>
              </w:rPr>
            </w:pPr>
            <w:r w:rsidRPr="007D2F82">
              <w:rPr>
                <w:sz w:val="20"/>
              </w:rPr>
              <w:t>Ozone</w:t>
            </w:r>
          </w:p>
        </w:tc>
        <w:tc>
          <w:tcPr>
            <w:tcW w:w="2527" w:type="dxa"/>
          </w:tcPr>
          <w:p w:rsidR="00DC48A2" w:rsidRPr="007D2F82" w:rsidRDefault="00DC48A2" w:rsidP="00F61A0C">
            <w:pPr>
              <w:spacing w:before="0" w:after="0"/>
              <w:cnfStyle w:val="000000100000"/>
              <w:rPr>
                <w:sz w:val="20"/>
              </w:rPr>
            </w:pPr>
            <w:r w:rsidRPr="007D2F82">
              <w:rPr>
                <w:sz w:val="20"/>
              </w:rPr>
              <w:t xml:space="preserve">0.10 </w:t>
            </w:r>
            <w:proofErr w:type="spellStart"/>
            <w:r w:rsidRPr="007D2F82">
              <w:rPr>
                <w:sz w:val="20"/>
              </w:rPr>
              <w:t>ppm</w:t>
            </w:r>
            <w:proofErr w:type="spellEnd"/>
            <w:r w:rsidRPr="007D2F82">
              <w:rPr>
                <w:sz w:val="20"/>
              </w:rPr>
              <w:t xml:space="preserve"> over 1 hour</w:t>
            </w:r>
          </w:p>
          <w:p w:rsidR="00DC48A2" w:rsidRPr="007D2F82" w:rsidRDefault="00DC48A2" w:rsidP="00F61A0C">
            <w:pPr>
              <w:spacing w:before="0" w:after="0"/>
              <w:cnfStyle w:val="000000100000"/>
              <w:rPr>
                <w:sz w:val="20"/>
              </w:rPr>
            </w:pPr>
          </w:p>
        </w:tc>
        <w:tc>
          <w:tcPr>
            <w:tcW w:w="2311" w:type="dxa"/>
          </w:tcPr>
          <w:p w:rsidR="00DC48A2" w:rsidRPr="007D2F82" w:rsidRDefault="00DC48A2" w:rsidP="00F61A0C">
            <w:pPr>
              <w:spacing w:before="0" w:after="0"/>
              <w:cnfStyle w:val="000000100000"/>
              <w:rPr>
                <w:sz w:val="20"/>
              </w:rPr>
            </w:pPr>
            <w:r w:rsidRPr="007D2F82">
              <w:rPr>
                <w:sz w:val="20"/>
              </w:rPr>
              <w:t>No exceedances</w:t>
            </w:r>
          </w:p>
          <w:p w:rsidR="00DC48A2" w:rsidRPr="007D2F82" w:rsidRDefault="00DC48A2" w:rsidP="00F61A0C">
            <w:pPr>
              <w:spacing w:before="0" w:after="0"/>
              <w:cnfStyle w:val="000000100000"/>
              <w:rPr>
                <w:sz w:val="20"/>
              </w:rPr>
            </w:pPr>
          </w:p>
        </w:tc>
        <w:tc>
          <w:tcPr>
            <w:tcW w:w="2311" w:type="dxa"/>
          </w:tcPr>
          <w:p w:rsidR="00DC48A2" w:rsidRPr="007D2F82" w:rsidRDefault="00DC48A2" w:rsidP="00F61A0C">
            <w:pPr>
              <w:spacing w:before="0" w:after="0"/>
              <w:cnfStyle w:val="000000100000"/>
              <w:rPr>
                <w:sz w:val="20"/>
              </w:rPr>
            </w:pPr>
            <w:r w:rsidRPr="007D2F82">
              <w:rPr>
                <w:sz w:val="20"/>
              </w:rPr>
              <w:t xml:space="preserve">Stable, well within  NEPM compliance range </w:t>
            </w:r>
          </w:p>
        </w:tc>
      </w:tr>
      <w:tr w:rsidR="00FD7628" w:rsidRPr="007D2F82" w:rsidTr="00F433F7">
        <w:tc>
          <w:tcPr>
            <w:cnfStyle w:val="001000000000"/>
            <w:tcW w:w="2093" w:type="dxa"/>
          </w:tcPr>
          <w:p w:rsidR="00FD7628" w:rsidRPr="007D2F82" w:rsidRDefault="00FD7628" w:rsidP="00F61A0C">
            <w:pPr>
              <w:spacing w:before="0" w:after="0"/>
              <w:rPr>
                <w:sz w:val="20"/>
              </w:rPr>
            </w:pPr>
          </w:p>
        </w:tc>
        <w:tc>
          <w:tcPr>
            <w:tcW w:w="2527" w:type="dxa"/>
          </w:tcPr>
          <w:p w:rsidR="00FD7628" w:rsidRPr="007D2F82" w:rsidRDefault="00FD7628" w:rsidP="00F61A0C">
            <w:pPr>
              <w:spacing w:before="0" w:after="0"/>
              <w:cnfStyle w:val="000000000000"/>
              <w:rPr>
                <w:sz w:val="20"/>
              </w:rPr>
            </w:pPr>
            <w:r w:rsidRPr="007D2F82">
              <w:rPr>
                <w:sz w:val="20"/>
              </w:rPr>
              <w:t xml:space="preserve">0.08 </w:t>
            </w:r>
            <w:proofErr w:type="spellStart"/>
            <w:r w:rsidRPr="007D2F82">
              <w:rPr>
                <w:sz w:val="20"/>
              </w:rPr>
              <w:t>ppm</w:t>
            </w:r>
            <w:proofErr w:type="spellEnd"/>
            <w:r w:rsidRPr="007D2F82">
              <w:rPr>
                <w:sz w:val="20"/>
              </w:rPr>
              <w:t xml:space="preserve"> over 4 hours</w:t>
            </w:r>
          </w:p>
        </w:tc>
        <w:tc>
          <w:tcPr>
            <w:tcW w:w="2311" w:type="dxa"/>
          </w:tcPr>
          <w:p w:rsidR="00FD7628" w:rsidRPr="007D2F82" w:rsidRDefault="00FD7628" w:rsidP="00F61A0C">
            <w:pPr>
              <w:spacing w:before="0" w:after="0"/>
              <w:cnfStyle w:val="000000000000"/>
              <w:rPr>
                <w:sz w:val="20"/>
              </w:rPr>
            </w:pPr>
            <w:r w:rsidRPr="007D2F82">
              <w:rPr>
                <w:sz w:val="20"/>
              </w:rPr>
              <w:t>No exceedances</w:t>
            </w:r>
          </w:p>
        </w:tc>
        <w:tc>
          <w:tcPr>
            <w:tcW w:w="2311" w:type="dxa"/>
          </w:tcPr>
          <w:p w:rsidR="00FD7628" w:rsidRPr="007D2F82" w:rsidRDefault="00FD7628" w:rsidP="00F61A0C">
            <w:pPr>
              <w:spacing w:before="0" w:after="0"/>
              <w:cnfStyle w:val="000000000000"/>
              <w:rPr>
                <w:sz w:val="20"/>
              </w:rPr>
            </w:pPr>
            <w:r w:rsidRPr="007D2F82">
              <w:rPr>
                <w:sz w:val="20"/>
              </w:rPr>
              <w:t xml:space="preserve">Stable, well within  NEPM compliance range </w:t>
            </w:r>
          </w:p>
        </w:tc>
      </w:tr>
      <w:tr w:rsidR="00DC48A2" w:rsidRPr="007D2F82" w:rsidTr="00F433F7">
        <w:trPr>
          <w:cnfStyle w:val="000000100000"/>
        </w:trPr>
        <w:tc>
          <w:tcPr>
            <w:cnfStyle w:val="001000000000"/>
            <w:tcW w:w="2093" w:type="dxa"/>
          </w:tcPr>
          <w:p w:rsidR="00DC48A2" w:rsidRPr="007D2F82" w:rsidRDefault="00DC48A2" w:rsidP="00F61A0C">
            <w:pPr>
              <w:spacing w:before="0" w:after="0"/>
              <w:rPr>
                <w:sz w:val="20"/>
              </w:rPr>
            </w:pPr>
            <w:r w:rsidRPr="007D2F82">
              <w:rPr>
                <w:sz w:val="20"/>
              </w:rPr>
              <w:t>Particulate matter - PM</w:t>
            </w:r>
            <w:r w:rsidRPr="007D2F82">
              <w:rPr>
                <w:rStyle w:val="Subscript"/>
                <w:sz w:val="20"/>
              </w:rPr>
              <w:t>10</w:t>
            </w:r>
            <w:r w:rsidRPr="007D2F82">
              <w:rPr>
                <w:sz w:val="20"/>
              </w:rPr>
              <w:t xml:space="preserve"> </w:t>
            </w:r>
          </w:p>
        </w:tc>
        <w:tc>
          <w:tcPr>
            <w:tcW w:w="2527" w:type="dxa"/>
          </w:tcPr>
          <w:p w:rsidR="00DC48A2" w:rsidRPr="007D2F82" w:rsidRDefault="00DC48A2" w:rsidP="00F61A0C">
            <w:pPr>
              <w:spacing w:before="0" w:after="0"/>
              <w:cnfStyle w:val="000000100000"/>
              <w:rPr>
                <w:sz w:val="20"/>
              </w:rPr>
            </w:pPr>
            <w:r w:rsidRPr="007D2F82">
              <w:rPr>
                <w:sz w:val="20"/>
              </w:rPr>
              <w:t xml:space="preserve">50.00 </w:t>
            </w:r>
            <w:proofErr w:type="spellStart"/>
            <w:r w:rsidRPr="007D2F82">
              <w:rPr>
                <w:sz w:val="20"/>
              </w:rPr>
              <w:t>ug</w:t>
            </w:r>
            <w:proofErr w:type="spellEnd"/>
            <w:r w:rsidRPr="007D2F82">
              <w:rPr>
                <w:sz w:val="20"/>
              </w:rPr>
              <w:t>/m3 over 1 day</w:t>
            </w:r>
          </w:p>
        </w:tc>
        <w:tc>
          <w:tcPr>
            <w:tcW w:w="2311" w:type="dxa"/>
          </w:tcPr>
          <w:p w:rsidR="00DC48A2" w:rsidRPr="007D2F82" w:rsidRDefault="00DC48A2" w:rsidP="00F61A0C">
            <w:pPr>
              <w:spacing w:before="0" w:after="0"/>
              <w:cnfStyle w:val="000000100000"/>
              <w:rPr>
                <w:sz w:val="20"/>
              </w:rPr>
            </w:pPr>
            <w:r w:rsidRPr="007D2F82">
              <w:rPr>
                <w:sz w:val="20"/>
              </w:rPr>
              <w:t>No exceedances</w:t>
            </w:r>
          </w:p>
        </w:tc>
        <w:tc>
          <w:tcPr>
            <w:tcW w:w="2311" w:type="dxa"/>
          </w:tcPr>
          <w:p w:rsidR="00DC48A2" w:rsidRPr="007D2F82" w:rsidRDefault="00DC48A2" w:rsidP="00F61A0C">
            <w:pPr>
              <w:spacing w:before="0" w:after="0"/>
              <w:cnfStyle w:val="000000100000"/>
              <w:rPr>
                <w:sz w:val="20"/>
              </w:rPr>
            </w:pPr>
            <w:r w:rsidRPr="007D2F82">
              <w:rPr>
                <w:sz w:val="20"/>
              </w:rPr>
              <w:t xml:space="preserve">Declining </w:t>
            </w:r>
          </w:p>
        </w:tc>
      </w:tr>
      <w:tr w:rsidR="00DC48A2" w:rsidRPr="007D2F82" w:rsidTr="00F433F7">
        <w:tc>
          <w:tcPr>
            <w:cnfStyle w:val="001000000000"/>
            <w:tcW w:w="2093" w:type="dxa"/>
          </w:tcPr>
          <w:p w:rsidR="00DC48A2" w:rsidRPr="007D2F82" w:rsidRDefault="00DC48A2" w:rsidP="00F61A0C">
            <w:pPr>
              <w:spacing w:before="0" w:after="0"/>
              <w:rPr>
                <w:sz w:val="20"/>
              </w:rPr>
            </w:pPr>
            <w:r w:rsidRPr="007D2F82">
              <w:rPr>
                <w:sz w:val="20"/>
              </w:rPr>
              <w:t>Particulate matter - PM</w:t>
            </w:r>
            <w:r w:rsidRPr="007D2F82">
              <w:rPr>
                <w:rStyle w:val="Subscript"/>
                <w:sz w:val="20"/>
              </w:rPr>
              <w:t xml:space="preserve">2.5 </w:t>
            </w:r>
          </w:p>
        </w:tc>
        <w:tc>
          <w:tcPr>
            <w:tcW w:w="2527" w:type="dxa"/>
          </w:tcPr>
          <w:p w:rsidR="00DC48A2" w:rsidRPr="007D2F82" w:rsidRDefault="00DC48A2" w:rsidP="00F61A0C">
            <w:pPr>
              <w:spacing w:before="0" w:after="0"/>
              <w:cnfStyle w:val="000000000000"/>
              <w:rPr>
                <w:sz w:val="20"/>
              </w:rPr>
            </w:pPr>
            <w:r w:rsidRPr="007D2F82">
              <w:rPr>
                <w:sz w:val="20"/>
              </w:rPr>
              <w:t xml:space="preserve">25.00 </w:t>
            </w:r>
            <w:proofErr w:type="spellStart"/>
            <w:r w:rsidRPr="007D2F82">
              <w:rPr>
                <w:sz w:val="20"/>
              </w:rPr>
              <w:t>ug</w:t>
            </w:r>
            <w:proofErr w:type="spellEnd"/>
            <w:r w:rsidRPr="007D2F82">
              <w:rPr>
                <w:sz w:val="20"/>
              </w:rPr>
              <w:t>/m3 over 1 day</w:t>
            </w:r>
          </w:p>
          <w:p w:rsidR="00DC48A2" w:rsidRPr="007D2F82" w:rsidRDefault="00DC48A2" w:rsidP="00F61A0C">
            <w:pPr>
              <w:spacing w:before="0" w:after="0"/>
              <w:cnfStyle w:val="000000000000"/>
              <w:rPr>
                <w:sz w:val="20"/>
              </w:rPr>
            </w:pPr>
            <w:r w:rsidRPr="007D2F82">
              <w:rPr>
                <w:sz w:val="20"/>
              </w:rPr>
              <w:t xml:space="preserve">8 </w:t>
            </w:r>
            <w:proofErr w:type="spellStart"/>
            <w:r w:rsidRPr="007D2F82">
              <w:rPr>
                <w:sz w:val="20"/>
              </w:rPr>
              <w:t>ug</w:t>
            </w:r>
            <w:proofErr w:type="spellEnd"/>
            <w:r w:rsidRPr="007D2F82">
              <w:rPr>
                <w:sz w:val="20"/>
              </w:rPr>
              <w:t xml:space="preserve">/m3 over 1 year </w:t>
            </w:r>
          </w:p>
          <w:p w:rsidR="00DC48A2" w:rsidRPr="007D2F82" w:rsidRDefault="00DC48A2" w:rsidP="00F61A0C">
            <w:pPr>
              <w:spacing w:before="0" w:after="0"/>
              <w:cnfStyle w:val="000000000000"/>
              <w:rPr>
                <w:sz w:val="20"/>
              </w:rPr>
            </w:pPr>
            <w:r w:rsidRPr="007D2F82">
              <w:rPr>
                <w:sz w:val="20"/>
              </w:rPr>
              <w:t>(advisory standards)</w:t>
            </w:r>
          </w:p>
        </w:tc>
        <w:tc>
          <w:tcPr>
            <w:tcW w:w="2311" w:type="dxa"/>
          </w:tcPr>
          <w:p w:rsidR="00DC48A2" w:rsidRPr="007D2F82" w:rsidRDefault="00DC48A2" w:rsidP="00F61A0C">
            <w:pPr>
              <w:spacing w:before="0" w:after="0"/>
              <w:cnfStyle w:val="000000000000"/>
              <w:rPr>
                <w:sz w:val="20"/>
              </w:rPr>
            </w:pPr>
            <w:r w:rsidRPr="007D2F82">
              <w:rPr>
                <w:sz w:val="20"/>
              </w:rPr>
              <w:t>Exceedances on 17 days</w:t>
            </w:r>
          </w:p>
        </w:tc>
        <w:tc>
          <w:tcPr>
            <w:tcW w:w="2311" w:type="dxa"/>
          </w:tcPr>
          <w:p w:rsidR="00DC48A2" w:rsidRPr="007D2F82" w:rsidRDefault="00DC48A2" w:rsidP="00F61A0C">
            <w:pPr>
              <w:spacing w:before="0" w:after="0"/>
              <w:cnfStyle w:val="000000000000"/>
              <w:rPr>
                <w:sz w:val="20"/>
              </w:rPr>
            </w:pPr>
            <w:r w:rsidRPr="007D2F82">
              <w:rPr>
                <w:sz w:val="20"/>
              </w:rPr>
              <w:t>Steady but the  pollution level can peak due to wood heaters and fire activity</w:t>
            </w:r>
          </w:p>
        </w:tc>
      </w:tr>
    </w:tbl>
    <w:p w:rsidR="00FD7628" w:rsidRDefault="007D2F82" w:rsidP="00191132">
      <w:pPr>
        <w:rPr>
          <w:lang w:val="en-AU" w:bidi="ar-SA"/>
        </w:rPr>
      </w:pPr>
      <w:r>
        <w:rPr>
          <w:lang w:val="en-AU" w:bidi="ar-SA"/>
        </w:rPr>
        <w:t xml:space="preserve">Despite occasional increases in CO pollution during the reporting period only particulate matter pollution exceeded the maximum concentration allowed under the NEPM. Of the 17 days where exceedances occurred, 12 were in winter </w:t>
      </w:r>
      <w:r w:rsidR="00D47112">
        <w:rPr>
          <w:lang w:val="en-AU" w:bidi="ar-SA"/>
        </w:rPr>
        <w:t xml:space="preserve">months </w:t>
      </w:r>
      <w:r>
        <w:rPr>
          <w:lang w:val="en-AU" w:bidi="ar-SA"/>
        </w:rPr>
        <w:t>and attributable to wood heater emissions and three in other months were attributable to fire hazard reduction burns.</w:t>
      </w:r>
      <w:r w:rsidR="003004A9">
        <w:rPr>
          <w:lang w:val="en-AU" w:bidi="ar-SA"/>
        </w:rPr>
        <w:t xml:space="preserve"> Figure 1 shows </w:t>
      </w:r>
      <w:r w:rsidR="00D47112">
        <w:rPr>
          <w:lang w:val="en-AU" w:bidi="ar-SA"/>
        </w:rPr>
        <w:t xml:space="preserve">this for 2014. </w:t>
      </w:r>
    </w:p>
    <w:p w:rsidR="00D56612" w:rsidRDefault="00222420" w:rsidP="00D56612">
      <w:pPr>
        <w:keepNext/>
      </w:pPr>
      <w:r>
        <w:rPr>
          <w:noProof/>
          <w:lang w:val="en-AU" w:eastAsia="en-AU" w:bidi="ar-SA"/>
        </w:rPr>
        <w:drawing>
          <wp:inline distT="0" distB="0" distL="0" distR="0">
            <wp:extent cx="5338405" cy="2864768"/>
            <wp:effectExtent l="0" t="0" r="0" b="0"/>
            <wp:docPr id="1" name="Object 14" descr="The first paragraph of this section describes this grap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C48A2" w:rsidRDefault="00D56612" w:rsidP="00FD7628">
      <w:pPr>
        <w:pStyle w:val="Caption"/>
      </w:pPr>
      <w:r>
        <w:t xml:space="preserve">Figure </w:t>
      </w:r>
      <w:r w:rsidR="009D153D">
        <w:t>1</w:t>
      </w:r>
      <w:r>
        <w:t xml:space="preserve">: Level of particulate matter pollution (PM 2.5) levels during 2014 measured at </w:t>
      </w:r>
      <w:proofErr w:type="spellStart"/>
      <w:r>
        <w:t>Monash</w:t>
      </w:r>
      <w:proofErr w:type="spellEnd"/>
    </w:p>
    <w:p w:rsidR="00D47112" w:rsidRDefault="00D47112" w:rsidP="002E637F">
      <w:pPr>
        <w:pStyle w:val="Heading3"/>
      </w:pPr>
    </w:p>
    <w:p w:rsidR="00D47112" w:rsidRDefault="00D47112" w:rsidP="002E637F">
      <w:pPr>
        <w:pStyle w:val="Heading3"/>
      </w:pPr>
    </w:p>
    <w:p w:rsidR="00D47112" w:rsidRDefault="00D47112" w:rsidP="002E637F">
      <w:pPr>
        <w:pStyle w:val="Heading3"/>
      </w:pPr>
    </w:p>
    <w:p w:rsidR="00D47112" w:rsidRDefault="00D47112" w:rsidP="002E637F">
      <w:pPr>
        <w:pStyle w:val="Heading3"/>
      </w:pPr>
    </w:p>
    <w:p w:rsidR="00D47112" w:rsidRDefault="00D47112" w:rsidP="002E637F">
      <w:pPr>
        <w:pStyle w:val="Heading3"/>
      </w:pPr>
    </w:p>
    <w:p w:rsidR="00D47112" w:rsidRPr="00D47112" w:rsidRDefault="00D47112" w:rsidP="00D47112">
      <w:r w:rsidRPr="00D47112">
        <w:rPr>
          <w:noProof/>
          <w:lang w:val="en-AU" w:eastAsia="en-AU" w:bidi="ar-SA"/>
        </w:rPr>
        <w:drawing>
          <wp:inline distT="0" distB="0" distL="0" distR="0">
            <wp:extent cx="5731510" cy="3269004"/>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5731510" cy="3269004"/>
                    </a:xfrm>
                    <a:prstGeom prst="rect">
                      <a:avLst/>
                    </a:prstGeom>
                    <a:noFill/>
                    <a:ln w="9525">
                      <a:noFill/>
                      <a:miter lim="800000"/>
                      <a:headEnd/>
                      <a:tailEnd/>
                    </a:ln>
                  </pic:spPr>
                </pic:pic>
              </a:graphicData>
            </a:graphic>
          </wp:inline>
        </w:drawing>
      </w:r>
    </w:p>
    <w:p w:rsidR="00D47112" w:rsidRPr="00867D1E" w:rsidRDefault="00D47112" w:rsidP="00D47112">
      <w:pPr>
        <w:rPr>
          <w:b/>
          <w:sz w:val="18"/>
        </w:rPr>
      </w:pPr>
      <w:r w:rsidRPr="00867D1E">
        <w:rPr>
          <w:b/>
          <w:sz w:val="18"/>
        </w:rPr>
        <w:t>Bushfires and controlled burns can contribute to air pollution</w:t>
      </w:r>
    </w:p>
    <w:p w:rsidR="00D47112" w:rsidRPr="00867D1E" w:rsidRDefault="00D47112" w:rsidP="00D47112">
      <w:pPr>
        <w:rPr>
          <w:b/>
          <w:sz w:val="18"/>
        </w:rPr>
      </w:pPr>
      <w:r w:rsidRPr="00867D1E">
        <w:rPr>
          <w:b/>
          <w:sz w:val="18"/>
        </w:rPr>
        <w:t xml:space="preserve">Photo: ACT Government </w:t>
      </w:r>
    </w:p>
    <w:p w:rsidR="0011665F" w:rsidRDefault="0011665F" w:rsidP="002E637F">
      <w:pPr>
        <w:pStyle w:val="Heading3"/>
      </w:pPr>
      <w:r>
        <w:t xml:space="preserve">Pressures </w:t>
      </w:r>
      <w:r w:rsidR="00D47112">
        <w:t xml:space="preserve"> </w:t>
      </w:r>
    </w:p>
    <w:p w:rsidR="00327DBA" w:rsidRDefault="00874BE6" w:rsidP="00D47112">
      <w:pPr>
        <w:rPr>
          <w:lang w:val="en-AU" w:bidi="ar-SA"/>
        </w:rPr>
      </w:pPr>
      <w:r>
        <w:rPr>
          <w:lang w:val="en-AU" w:bidi="ar-SA"/>
        </w:rPr>
        <w:t xml:space="preserve">To a large extent air quality </w:t>
      </w:r>
      <w:r w:rsidR="00D47112">
        <w:rPr>
          <w:lang w:val="en-AU" w:bidi="ar-SA"/>
        </w:rPr>
        <w:t xml:space="preserve">in the ACT is </w:t>
      </w:r>
      <w:r w:rsidR="00D47112" w:rsidRPr="00D47112">
        <w:rPr>
          <w:lang w:val="en-AU" w:bidi="ar-SA"/>
        </w:rPr>
        <w:t>determined</w:t>
      </w:r>
      <w:r w:rsidR="00867D1E">
        <w:rPr>
          <w:lang w:val="en-AU" w:bidi="ar-SA"/>
        </w:rPr>
        <w:t xml:space="preserve"> </w:t>
      </w:r>
      <w:r w:rsidR="00D47112" w:rsidRPr="00D47112">
        <w:rPr>
          <w:lang w:val="en-AU" w:bidi="ar-SA"/>
        </w:rPr>
        <w:t>by activities and conditions within our urban areas.</w:t>
      </w:r>
      <w:r w:rsidR="00D47112">
        <w:rPr>
          <w:lang w:val="en-AU" w:bidi="ar-SA"/>
        </w:rPr>
        <w:t xml:space="preserve"> </w:t>
      </w:r>
      <w:r w:rsidR="00D47112" w:rsidRPr="00D47112">
        <w:rPr>
          <w:lang w:val="en-AU" w:bidi="ar-SA"/>
        </w:rPr>
        <w:t>The main pressure on ACT air quality is emissions</w:t>
      </w:r>
      <w:r w:rsidR="00867D1E">
        <w:rPr>
          <w:lang w:val="en-AU" w:bidi="ar-SA"/>
        </w:rPr>
        <w:t xml:space="preserve"> </w:t>
      </w:r>
      <w:r w:rsidR="00D47112" w:rsidRPr="00D47112">
        <w:rPr>
          <w:lang w:val="en-AU" w:bidi="ar-SA"/>
        </w:rPr>
        <w:t xml:space="preserve">to the </w:t>
      </w:r>
      <w:proofErr w:type="spellStart"/>
      <w:r w:rsidR="00D47112" w:rsidRPr="00D47112">
        <w:rPr>
          <w:lang w:val="en-AU" w:bidi="ar-SA"/>
        </w:rPr>
        <w:t>airshed</w:t>
      </w:r>
      <w:proofErr w:type="spellEnd"/>
      <w:r w:rsidR="00D47112" w:rsidRPr="00D47112">
        <w:rPr>
          <w:lang w:val="en-AU" w:bidi="ar-SA"/>
        </w:rPr>
        <w:t>, which affects air quality and causes</w:t>
      </w:r>
      <w:r w:rsidR="00D47112">
        <w:rPr>
          <w:lang w:val="en-AU" w:bidi="ar-SA"/>
        </w:rPr>
        <w:t xml:space="preserve"> </w:t>
      </w:r>
      <w:r w:rsidR="00D47112" w:rsidRPr="00D47112">
        <w:rPr>
          <w:lang w:val="en-AU" w:bidi="ar-SA"/>
        </w:rPr>
        <w:t>health impacts</w:t>
      </w:r>
      <w:r w:rsidR="00867D1E">
        <w:rPr>
          <w:lang w:val="en-AU" w:bidi="ar-SA"/>
        </w:rPr>
        <w:t>. Figure 2 s</w:t>
      </w:r>
      <w:r w:rsidR="00D47112">
        <w:rPr>
          <w:lang w:val="en-AU" w:bidi="ar-SA"/>
        </w:rPr>
        <w:t xml:space="preserve">hows the sources </w:t>
      </w:r>
      <w:r w:rsidR="00327DBA">
        <w:rPr>
          <w:lang w:val="en-AU" w:bidi="ar-SA"/>
        </w:rPr>
        <w:t xml:space="preserve">of air </w:t>
      </w:r>
      <w:r w:rsidR="00867D1E">
        <w:rPr>
          <w:lang w:val="en-AU" w:bidi="ar-SA"/>
        </w:rPr>
        <w:t>contaminant</w:t>
      </w:r>
      <w:r w:rsidR="00327DBA">
        <w:rPr>
          <w:lang w:val="en-AU" w:bidi="ar-SA"/>
        </w:rPr>
        <w:t xml:space="preserve"> emissions over 2011 -2014.</w:t>
      </w:r>
    </w:p>
    <w:p w:rsidR="00D47112" w:rsidRDefault="00327DBA" w:rsidP="00430C7B">
      <w:pPr>
        <w:rPr>
          <w:b/>
        </w:rPr>
      </w:pPr>
      <w:r>
        <w:rPr>
          <w:lang w:val="en-AU" w:bidi="ar-SA"/>
        </w:rPr>
        <w:t>The main pressures of concern are for</w:t>
      </w:r>
      <w:r w:rsidR="00274E29">
        <w:rPr>
          <w:lang w:val="en-AU" w:bidi="ar-SA"/>
        </w:rPr>
        <w:t xml:space="preserve"> small but widespread emissi</w:t>
      </w:r>
      <w:r w:rsidR="00867D1E">
        <w:rPr>
          <w:lang w:val="en-AU" w:bidi="ar-SA"/>
        </w:rPr>
        <w:t>ons of pollutants, particularly</w:t>
      </w:r>
      <w:r>
        <w:rPr>
          <w:lang w:val="en-AU" w:bidi="ar-SA"/>
        </w:rPr>
        <w:t>:</w:t>
      </w:r>
      <w:r w:rsidR="00D47112">
        <w:rPr>
          <w:b/>
        </w:rPr>
        <w:t xml:space="preserve"> </w:t>
      </w:r>
    </w:p>
    <w:p w:rsidR="00D56612" w:rsidRDefault="00430C7B" w:rsidP="00430C7B">
      <w:r w:rsidRPr="00BC3991">
        <w:rPr>
          <w:b/>
        </w:rPr>
        <w:t>C</w:t>
      </w:r>
      <w:r w:rsidR="00DC48A2" w:rsidRPr="00BC3991">
        <w:rPr>
          <w:b/>
        </w:rPr>
        <w:t>arbon monoxide</w:t>
      </w:r>
      <w:r>
        <w:t xml:space="preserve"> </w:t>
      </w:r>
      <w:r w:rsidR="00BC3991">
        <w:t xml:space="preserve">- </w:t>
      </w:r>
      <w:r>
        <w:t>motor vehicles</w:t>
      </w:r>
      <w:r w:rsidR="006610C4">
        <w:t xml:space="preserve"> emis</w:t>
      </w:r>
      <w:r w:rsidR="00DC48A2">
        <w:t>sions are</w:t>
      </w:r>
      <w:r w:rsidR="007B7A2E">
        <w:t xml:space="preserve"> the </w:t>
      </w:r>
      <w:r w:rsidR="006610C4">
        <w:t>main pressure</w:t>
      </w:r>
      <w:r>
        <w:t xml:space="preserve"> followed by solid fuel burning for domestic heating. </w:t>
      </w:r>
    </w:p>
    <w:p w:rsidR="006610C4" w:rsidRDefault="007B7A2E" w:rsidP="00430C7B">
      <w:r w:rsidRPr="00BC3991">
        <w:rPr>
          <w:b/>
        </w:rPr>
        <w:t>Nitrogen dioxide</w:t>
      </w:r>
      <w:r>
        <w:t xml:space="preserve"> </w:t>
      </w:r>
      <w:r w:rsidR="00BC3991">
        <w:t xml:space="preserve">- </w:t>
      </w:r>
      <w:r>
        <w:t xml:space="preserve">motor vehicle emissions are the main </w:t>
      </w:r>
      <w:r w:rsidR="00D56612">
        <w:t>source of emissions.</w:t>
      </w:r>
      <w:r>
        <w:t xml:space="preserve"> </w:t>
      </w:r>
    </w:p>
    <w:p w:rsidR="006610C4" w:rsidRDefault="00BC3991" w:rsidP="00430C7B">
      <w:r w:rsidRPr="00BC3991">
        <w:rPr>
          <w:b/>
        </w:rPr>
        <w:t>O</w:t>
      </w:r>
      <w:r w:rsidR="006610C4" w:rsidRPr="00BC3991">
        <w:rPr>
          <w:b/>
        </w:rPr>
        <w:t>zone</w:t>
      </w:r>
      <w:r w:rsidR="00430C7B">
        <w:t xml:space="preserve"> - motor vehicle</w:t>
      </w:r>
      <w:r w:rsidR="006610C4">
        <w:t xml:space="preserve"> emissi</w:t>
      </w:r>
      <w:r w:rsidR="00AC38F8">
        <w:t xml:space="preserve">ons </w:t>
      </w:r>
      <w:r w:rsidR="007B7A2E">
        <w:t>are the main pressure</w:t>
      </w:r>
      <w:r w:rsidR="00430C7B">
        <w:t xml:space="preserve">, followed by solid fuel burning for domestic heating. </w:t>
      </w:r>
    </w:p>
    <w:p w:rsidR="00BC3991" w:rsidRDefault="00BC3991" w:rsidP="00430C7B">
      <w:r w:rsidRPr="00BC3991">
        <w:rPr>
          <w:b/>
        </w:rPr>
        <w:t>PM10</w:t>
      </w:r>
      <w:r>
        <w:t xml:space="preserve"> -</w:t>
      </w:r>
      <w:r w:rsidR="00430C7B">
        <w:t xml:space="preserve"> solid fuel burning for domestic heating</w:t>
      </w:r>
      <w:r w:rsidR="00874BE6">
        <w:t xml:space="preserve"> is the main source of emissions</w:t>
      </w:r>
      <w:r w:rsidR="00430C7B">
        <w:t xml:space="preserve">. </w:t>
      </w:r>
    </w:p>
    <w:p w:rsidR="00430C7B" w:rsidRDefault="00430C7B" w:rsidP="00430C7B">
      <w:r w:rsidRPr="00BC3991">
        <w:rPr>
          <w:b/>
        </w:rPr>
        <w:t>PM2.5</w:t>
      </w:r>
      <w:r>
        <w:t xml:space="preserve">   </w:t>
      </w:r>
      <w:r w:rsidR="00BC3991">
        <w:t xml:space="preserve">- </w:t>
      </w:r>
      <w:r w:rsidR="00874BE6">
        <w:t xml:space="preserve">sources of emissions </w:t>
      </w:r>
      <w:r w:rsidR="00BC3991">
        <w:t>varied</w:t>
      </w:r>
      <w:r>
        <w:t xml:space="preserve"> between construction material</w:t>
      </w:r>
      <w:r w:rsidR="00874BE6">
        <w:t>,</w:t>
      </w:r>
      <w:r>
        <w:t xml:space="preserve"> mining and water supply, sewerage and drainage services</w:t>
      </w:r>
      <w:r w:rsidR="00874BE6">
        <w:t>.</w:t>
      </w:r>
    </w:p>
    <w:p w:rsidR="00274E29" w:rsidRDefault="00327DBA" w:rsidP="002E637F">
      <w:pPr>
        <w:pStyle w:val="Heading3"/>
        <w:rPr>
          <w:rFonts w:asciiTheme="minorHAnsi" w:eastAsiaTheme="minorHAnsi" w:hAnsiTheme="minorHAnsi" w:cstheme="minorBidi"/>
          <w:color w:val="auto"/>
          <w:sz w:val="22"/>
          <w:szCs w:val="22"/>
          <w:lang w:val="en-AU" w:bidi="ar-SA"/>
        </w:rPr>
      </w:pPr>
      <w:r w:rsidRPr="00327DBA">
        <w:rPr>
          <w:rFonts w:asciiTheme="minorHAnsi" w:eastAsiaTheme="minorHAnsi" w:hAnsiTheme="minorHAnsi" w:cstheme="minorBidi"/>
          <w:color w:val="auto"/>
          <w:sz w:val="22"/>
          <w:szCs w:val="22"/>
          <w:lang w:val="en-AU" w:bidi="ar-SA"/>
        </w:rPr>
        <w:t>Po</w:t>
      </w:r>
      <w:r>
        <w:rPr>
          <w:rFonts w:asciiTheme="minorHAnsi" w:eastAsiaTheme="minorHAnsi" w:hAnsiTheme="minorHAnsi" w:cstheme="minorBidi"/>
          <w:color w:val="auto"/>
          <w:sz w:val="22"/>
          <w:szCs w:val="22"/>
          <w:lang w:val="en-AU" w:bidi="ar-SA"/>
        </w:rPr>
        <w:t>i</w:t>
      </w:r>
      <w:r w:rsidRPr="00327DBA">
        <w:rPr>
          <w:rFonts w:asciiTheme="minorHAnsi" w:eastAsiaTheme="minorHAnsi" w:hAnsiTheme="minorHAnsi" w:cstheme="minorBidi"/>
          <w:color w:val="auto"/>
          <w:sz w:val="22"/>
          <w:szCs w:val="22"/>
          <w:lang w:val="en-AU" w:bidi="ar-SA"/>
        </w:rPr>
        <w:t xml:space="preserve">nt source emissions </w:t>
      </w:r>
      <w:r w:rsidR="00274E29">
        <w:rPr>
          <w:rFonts w:asciiTheme="minorHAnsi" w:eastAsiaTheme="minorHAnsi" w:hAnsiTheme="minorHAnsi" w:cstheme="minorBidi"/>
          <w:color w:val="auto"/>
          <w:sz w:val="22"/>
          <w:szCs w:val="22"/>
          <w:lang w:val="en-AU" w:bidi="ar-SA"/>
        </w:rPr>
        <w:t>of some substances emitted from industrial facilities also measured and regulated by the ACT G</w:t>
      </w:r>
      <w:r w:rsidR="00874BE6">
        <w:rPr>
          <w:rFonts w:asciiTheme="minorHAnsi" w:eastAsiaTheme="minorHAnsi" w:hAnsiTheme="minorHAnsi" w:cstheme="minorBidi"/>
          <w:color w:val="auto"/>
          <w:sz w:val="22"/>
          <w:szCs w:val="22"/>
          <w:lang w:val="en-AU" w:bidi="ar-SA"/>
        </w:rPr>
        <w:t xml:space="preserve">overnment.  There are several </w:t>
      </w:r>
      <w:r w:rsidR="00274E29">
        <w:rPr>
          <w:rFonts w:asciiTheme="minorHAnsi" w:eastAsiaTheme="minorHAnsi" w:hAnsiTheme="minorHAnsi" w:cstheme="minorBidi"/>
          <w:color w:val="auto"/>
          <w:sz w:val="22"/>
          <w:szCs w:val="22"/>
          <w:lang w:val="en-AU" w:bidi="ar-SA"/>
        </w:rPr>
        <w:t xml:space="preserve">industrial facilities that must </w:t>
      </w:r>
      <w:r w:rsidR="00874BE6">
        <w:rPr>
          <w:rFonts w:asciiTheme="minorHAnsi" w:eastAsiaTheme="minorHAnsi" w:hAnsiTheme="minorHAnsi" w:cstheme="minorBidi"/>
          <w:color w:val="auto"/>
          <w:sz w:val="22"/>
          <w:szCs w:val="22"/>
          <w:lang w:val="en-AU" w:bidi="ar-SA"/>
        </w:rPr>
        <w:t xml:space="preserve">report </w:t>
      </w:r>
      <w:r w:rsidR="00274E29">
        <w:rPr>
          <w:rFonts w:asciiTheme="minorHAnsi" w:eastAsiaTheme="minorHAnsi" w:hAnsiTheme="minorHAnsi" w:cstheme="minorBidi"/>
          <w:color w:val="auto"/>
          <w:sz w:val="22"/>
          <w:szCs w:val="22"/>
          <w:lang w:val="en-AU" w:bidi="ar-SA"/>
        </w:rPr>
        <w:t>on their total point source emission each year. All facilities have been reported as compliant during the reporting period.</w:t>
      </w:r>
    </w:p>
    <w:p w:rsidR="00274E29" w:rsidRDefault="00274E29" w:rsidP="002E637F">
      <w:pPr>
        <w:pStyle w:val="Heading3"/>
        <w:rPr>
          <w:rFonts w:asciiTheme="minorHAnsi" w:eastAsiaTheme="minorHAnsi" w:hAnsiTheme="minorHAnsi" w:cstheme="minorBidi"/>
          <w:color w:val="auto"/>
          <w:sz w:val="22"/>
          <w:szCs w:val="22"/>
          <w:lang w:val="en-AU" w:bidi="ar-SA"/>
        </w:rPr>
      </w:pPr>
    </w:p>
    <w:p w:rsidR="00D47112" w:rsidRPr="00327DBA" w:rsidRDefault="00327DBA" w:rsidP="002E637F">
      <w:pPr>
        <w:pStyle w:val="Heading3"/>
        <w:rPr>
          <w:rFonts w:asciiTheme="minorHAnsi" w:eastAsiaTheme="minorHAnsi" w:hAnsiTheme="minorHAnsi" w:cstheme="minorBidi"/>
          <w:color w:val="auto"/>
          <w:sz w:val="22"/>
          <w:szCs w:val="22"/>
          <w:lang w:val="en-AU" w:bidi="ar-SA"/>
        </w:rPr>
      </w:pPr>
      <w:r w:rsidRPr="00327DBA">
        <w:rPr>
          <w:rFonts w:asciiTheme="minorHAnsi" w:eastAsiaTheme="minorHAnsi" w:hAnsiTheme="minorHAnsi" w:cstheme="minorBidi"/>
          <w:color w:val="auto"/>
          <w:sz w:val="22"/>
          <w:szCs w:val="22"/>
          <w:lang w:val="en-AU" w:bidi="ar-SA"/>
        </w:rPr>
        <w:lastRenderedPageBreak/>
        <w:t xml:space="preserve"> </w:t>
      </w:r>
    </w:p>
    <w:p w:rsidR="00D47112" w:rsidRDefault="00D47112" w:rsidP="002E637F">
      <w:pPr>
        <w:pStyle w:val="Heading3"/>
      </w:pPr>
    </w:p>
    <w:p w:rsidR="00D47112" w:rsidRDefault="00327DBA" w:rsidP="002E637F">
      <w:pPr>
        <w:pStyle w:val="Heading3"/>
      </w:pPr>
      <w:r>
        <w:rPr>
          <w:noProof/>
          <w:lang w:val="en-AU" w:eastAsia="en-AU" w:bidi="ar-SA"/>
        </w:rPr>
        <w:drawing>
          <wp:inline distT="0" distB="0" distL="0" distR="0">
            <wp:extent cx="5731510" cy="3884110"/>
            <wp:effectExtent l="1905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srcRect/>
                    <a:stretch>
                      <a:fillRect/>
                    </a:stretch>
                  </pic:blipFill>
                  <pic:spPr bwMode="auto">
                    <a:xfrm>
                      <a:off x="0" y="0"/>
                      <a:ext cx="5731510" cy="3884110"/>
                    </a:xfrm>
                    <a:prstGeom prst="rect">
                      <a:avLst/>
                    </a:prstGeom>
                    <a:noFill/>
                    <a:ln w="9525">
                      <a:noFill/>
                      <a:miter lim="800000"/>
                      <a:headEnd/>
                      <a:tailEnd/>
                    </a:ln>
                  </pic:spPr>
                </pic:pic>
              </a:graphicData>
            </a:graphic>
          </wp:inline>
        </w:drawing>
      </w:r>
    </w:p>
    <w:p w:rsidR="00327DBA" w:rsidRDefault="00327DBA" w:rsidP="002E637F">
      <w:pPr>
        <w:pStyle w:val="Heading3"/>
        <w:rPr>
          <w:rFonts w:asciiTheme="minorHAnsi" w:eastAsiaTheme="minorHAnsi" w:hAnsiTheme="minorHAnsi" w:cstheme="minorBidi"/>
          <w:b/>
          <w:bCs/>
          <w:color w:val="auto"/>
          <w:sz w:val="18"/>
          <w:szCs w:val="18"/>
        </w:rPr>
      </w:pPr>
      <w:r w:rsidRPr="00327DBA">
        <w:rPr>
          <w:rFonts w:asciiTheme="minorHAnsi" w:eastAsiaTheme="minorHAnsi" w:hAnsiTheme="minorHAnsi" w:cstheme="minorBidi"/>
          <w:b/>
          <w:bCs/>
          <w:color w:val="auto"/>
          <w:sz w:val="18"/>
          <w:szCs w:val="18"/>
        </w:rPr>
        <w:t xml:space="preserve">Figure </w:t>
      </w:r>
      <w:r>
        <w:rPr>
          <w:rFonts w:asciiTheme="minorHAnsi" w:eastAsiaTheme="minorHAnsi" w:hAnsiTheme="minorHAnsi" w:cstheme="minorBidi"/>
          <w:b/>
          <w:bCs/>
          <w:color w:val="auto"/>
          <w:sz w:val="18"/>
          <w:szCs w:val="18"/>
        </w:rPr>
        <w:t>2</w:t>
      </w:r>
      <w:r w:rsidRPr="00327DBA">
        <w:rPr>
          <w:rFonts w:asciiTheme="minorHAnsi" w:eastAsiaTheme="minorHAnsi" w:hAnsiTheme="minorHAnsi" w:cstheme="minorBidi"/>
          <w:b/>
          <w:bCs/>
          <w:color w:val="auto"/>
          <w:sz w:val="18"/>
          <w:szCs w:val="18"/>
        </w:rPr>
        <w:t xml:space="preserve">: </w:t>
      </w:r>
      <w:r>
        <w:rPr>
          <w:rFonts w:asciiTheme="minorHAnsi" w:eastAsiaTheme="minorHAnsi" w:hAnsiTheme="minorHAnsi" w:cstheme="minorBidi"/>
          <w:b/>
          <w:bCs/>
          <w:color w:val="auto"/>
          <w:sz w:val="18"/>
          <w:szCs w:val="18"/>
        </w:rPr>
        <w:t>Sources and volumes of ACT air contaminant emissions 2011 – 2014</w:t>
      </w:r>
    </w:p>
    <w:p w:rsidR="00327DBA" w:rsidRDefault="00327DBA" w:rsidP="002E637F">
      <w:pPr>
        <w:pStyle w:val="Heading3"/>
      </w:pPr>
      <w:r>
        <w:rPr>
          <w:rFonts w:asciiTheme="minorHAnsi" w:eastAsiaTheme="minorHAnsi" w:hAnsiTheme="minorHAnsi" w:cstheme="minorBidi"/>
          <w:b/>
          <w:bCs/>
          <w:color w:val="auto"/>
          <w:sz w:val="18"/>
          <w:szCs w:val="18"/>
        </w:rPr>
        <w:t xml:space="preserve">Source Data provided by National Pollutant Inventory  </w:t>
      </w:r>
      <w:r w:rsidRPr="00327DBA">
        <w:rPr>
          <w:rFonts w:asciiTheme="minorHAnsi" w:eastAsiaTheme="minorHAnsi" w:hAnsiTheme="minorHAnsi" w:cstheme="minorBidi"/>
          <w:b/>
          <w:bCs/>
          <w:color w:val="auto"/>
          <w:sz w:val="18"/>
          <w:szCs w:val="18"/>
        </w:rPr>
        <w:t xml:space="preserve"> </w:t>
      </w:r>
    </w:p>
    <w:p w:rsidR="00193A67" w:rsidRDefault="00193A67" w:rsidP="002E637F">
      <w:pPr>
        <w:pStyle w:val="Heading3"/>
      </w:pPr>
      <w:r>
        <w:t>Response</w:t>
      </w:r>
    </w:p>
    <w:p w:rsidR="007A1745" w:rsidRDefault="00295C1C" w:rsidP="002E637F">
      <w:r>
        <w:t xml:space="preserve">In the ACT, </w:t>
      </w:r>
      <w:r w:rsidRPr="00BC3991">
        <w:rPr>
          <w:color w:val="000000" w:themeColor="text1"/>
        </w:rPr>
        <w:t xml:space="preserve">the </w:t>
      </w:r>
      <w:r w:rsidRPr="00BC3991">
        <w:rPr>
          <w:rStyle w:val="Emphasis"/>
          <w:b w:val="0"/>
          <w:color w:val="000000" w:themeColor="text1"/>
        </w:rPr>
        <w:t>Environment Protection Act 1997</w:t>
      </w:r>
      <w:r w:rsidR="00C86D63" w:rsidRPr="00C86D63">
        <w:rPr>
          <w:b/>
        </w:rPr>
        <w:t xml:space="preserve"> </w:t>
      </w:r>
      <w:r>
        <w:t xml:space="preserve">and the </w:t>
      </w:r>
      <w:r w:rsidR="00C86D63" w:rsidRPr="00C86D63">
        <w:rPr>
          <w:i/>
        </w:rPr>
        <w:t>Environment Protection Regulation 2005</w:t>
      </w:r>
      <w:r>
        <w:t xml:space="preserve"> provide the legal framework for the protection of air quality. The EPA enforces the legislation and relevant regulations</w:t>
      </w:r>
      <w:r w:rsidR="00274348">
        <w:t xml:space="preserve">. </w:t>
      </w:r>
      <w:r>
        <w:t>The ACT Govern</w:t>
      </w:r>
      <w:r w:rsidR="00274348">
        <w:t>ment</w:t>
      </w:r>
      <w:r>
        <w:t xml:space="preserve"> </w:t>
      </w:r>
      <w:r w:rsidR="008503BB">
        <w:t>is w</w:t>
      </w:r>
      <w:r w:rsidRPr="007561A2">
        <w:t xml:space="preserve">orking to reduce </w:t>
      </w:r>
      <w:r w:rsidR="00BC3991">
        <w:t>particulate matter</w:t>
      </w:r>
      <w:r w:rsidR="00BC3991" w:rsidRPr="007561A2">
        <w:t xml:space="preserve"> </w:t>
      </w:r>
      <w:r w:rsidRPr="007561A2">
        <w:t>from wood</w:t>
      </w:r>
      <w:r>
        <w:t xml:space="preserve"> </w:t>
      </w:r>
      <w:r w:rsidRPr="007561A2">
        <w:t>smoke attributed to h</w:t>
      </w:r>
      <w:r>
        <w:t>eating in the winter months</w:t>
      </w:r>
      <w:r w:rsidR="008503BB">
        <w:t xml:space="preserve"> through a </w:t>
      </w:r>
      <w:r>
        <w:t>wood heater replacement program</w:t>
      </w:r>
      <w:r w:rsidR="008503BB">
        <w:t xml:space="preserve"> funded by </w:t>
      </w:r>
      <w:r w:rsidR="00BC31EA" w:rsidRPr="008D09F1">
        <w:t>ActewAGL</w:t>
      </w:r>
      <w:r w:rsidR="008D09F1">
        <w:t xml:space="preserve"> Pty Ltd</w:t>
      </w:r>
      <w:r w:rsidR="00D45214" w:rsidRPr="009C04BB">
        <w:t xml:space="preserve">. </w:t>
      </w:r>
      <w:r w:rsidR="008503BB">
        <w:t>Also</w:t>
      </w:r>
      <w:r w:rsidR="00D738BF">
        <w:t xml:space="preserve">, the </w:t>
      </w:r>
      <w:r>
        <w:t>environment impact statement</w:t>
      </w:r>
      <w:r w:rsidRPr="008E5ABF">
        <w:t xml:space="preserve"> process</w:t>
      </w:r>
      <w:r>
        <w:t xml:space="preserve"> controls </w:t>
      </w:r>
      <w:r w:rsidRPr="008E5ABF">
        <w:t>development where air quality is considered as an issue</w:t>
      </w:r>
      <w:r w:rsidR="00274348">
        <w:t>. F</w:t>
      </w:r>
      <w:r>
        <w:t>or</w:t>
      </w:r>
      <w:r w:rsidRPr="008E5ABF">
        <w:t xml:space="preserve"> example</w:t>
      </w:r>
      <w:r>
        <w:t>,</w:t>
      </w:r>
      <w:r w:rsidRPr="008E5ABF">
        <w:t xml:space="preserve"> </w:t>
      </w:r>
      <w:r w:rsidR="007A1745" w:rsidRPr="008E5ABF">
        <w:t>in new developments</w:t>
      </w:r>
      <w:r w:rsidR="007A1745">
        <w:t xml:space="preserve"> where</w:t>
      </w:r>
      <w:r w:rsidR="007A1745" w:rsidRPr="008E5ABF">
        <w:t xml:space="preserve"> topograph</w:t>
      </w:r>
      <w:r w:rsidR="007A1745">
        <w:t>y</w:t>
      </w:r>
      <w:r w:rsidR="007A1745" w:rsidRPr="00274348">
        <w:t xml:space="preserve"> </w:t>
      </w:r>
      <w:r w:rsidR="007A1745">
        <w:t>is a likely factor in reduced</w:t>
      </w:r>
      <w:r w:rsidR="007A1745" w:rsidRPr="008E5ABF">
        <w:t xml:space="preserve"> air quality</w:t>
      </w:r>
      <w:r w:rsidR="007A1745">
        <w:t xml:space="preserve"> with wood heater use, their </w:t>
      </w:r>
      <w:r w:rsidR="00274348">
        <w:t>installation is restricted</w:t>
      </w:r>
      <w:r w:rsidR="00D738BF">
        <w:t xml:space="preserve">. </w:t>
      </w:r>
    </w:p>
    <w:p w:rsidR="00295C1C" w:rsidRDefault="00295C1C" w:rsidP="002E637F">
      <w:r>
        <w:t>During the reporting period, a comprehensive air quality assessment was undertaken for the Molonglo Valley development</w:t>
      </w:r>
      <w:r w:rsidR="00D738BF">
        <w:t xml:space="preserve"> and wood heaters were banned</w:t>
      </w:r>
      <w:r w:rsidR="007A1745">
        <w:t xml:space="preserve">. </w:t>
      </w:r>
      <w:r>
        <w:t xml:space="preserve">The ACT Government is also working to reduce vehicle emissions and reliance on cars as the main transport method in the ACT. </w:t>
      </w:r>
    </w:p>
    <w:p w:rsidR="003004A9" w:rsidRDefault="008D09F1" w:rsidP="002E637F">
      <w:r>
        <w:t>More information on air quality is available in Chapter</w:t>
      </w:r>
      <w:r>
        <w:rPr>
          <w:color w:val="FF0000"/>
        </w:rPr>
        <w:t xml:space="preserve"> </w:t>
      </w:r>
      <w:r w:rsidRPr="008D09F1">
        <w:t>4 (Air)</w:t>
      </w:r>
      <w:r>
        <w:rPr>
          <w:color w:val="FF0000"/>
        </w:rPr>
        <w:t xml:space="preserve"> </w:t>
      </w:r>
      <w:r>
        <w:t xml:space="preserve">of the 2015 </w:t>
      </w:r>
      <w:r w:rsidRPr="00627380">
        <w:rPr>
          <w:i/>
        </w:rPr>
        <w:t>ACT State of the Environment Report</w:t>
      </w:r>
      <w:r>
        <w:t>.</w:t>
      </w:r>
      <w:r>
        <w:rPr>
          <w:rFonts w:ascii="Times New Roman" w:eastAsia="Times New Roman" w:hAnsi="Times New Roman"/>
          <w:sz w:val="24"/>
          <w:szCs w:val="24"/>
        </w:rPr>
        <w:t xml:space="preserve"> </w:t>
      </w:r>
      <w:r w:rsidR="00D82DE1">
        <w:t xml:space="preserve">Available at </w:t>
      </w:r>
      <w:hyperlink r:id="rId11" w:history="1">
        <w:r w:rsidR="00D82DE1">
          <w:rPr>
            <w:rStyle w:val="Hyperlink"/>
          </w:rPr>
          <w:t>http://reports.envcomm.act.gov.au/actsoe2015</w:t>
        </w:r>
      </w:hyperlink>
      <w:r w:rsidR="00D82DE1" w:rsidRPr="00670E05">
        <w:rPr>
          <w:rFonts w:ascii="Times New Roman" w:eastAsia="Times New Roman" w:hAnsi="Times New Roman"/>
          <w:sz w:val="24"/>
          <w:szCs w:val="24"/>
        </w:rPr>
        <w:t xml:space="preserve"> </w:t>
      </w:r>
    </w:p>
    <w:sectPr w:rsidR="003004A9" w:rsidSect="004B03D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8A1" w:rsidRDefault="00C768A1" w:rsidP="002E637F">
      <w:r>
        <w:separator/>
      </w:r>
    </w:p>
  </w:endnote>
  <w:endnote w:type="continuationSeparator" w:id="0">
    <w:p w:rsidR="00C768A1" w:rsidRDefault="00C768A1" w:rsidP="002E63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4554"/>
      <w:docPartObj>
        <w:docPartGallery w:val="Page Numbers (Bottom of Page)"/>
        <w:docPartUnique/>
      </w:docPartObj>
    </w:sdtPr>
    <w:sdtContent>
      <w:p w:rsidR="007016B5" w:rsidRDefault="007016B5" w:rsidP="002E637F">
        <w:pPr>
          <w:pStyle w:val="Footer"/>
        </w:pPr>
        <w:r w:rsidRPr="008117D4">
          <w:rPr>
            <w:sz w:val="16"/>
            <w:szCs w:val="16"/>
          </w:rPr>
          <w:t>ACT State of the Environment Report 2015 |Commissioner for Sustainability and the Environment | www.envcomm.act.gov.au</w:t>
        </w:r>
        <w:r>
          <w:t xml:space="preserve"> </w:t>
        </w:r>
        <w:fldSimple w:instr=" PAGE   \* MERGEFORMAT ">
          <w:r w:rsidR="009C4349">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8A1" w:rsidRDefault="00C768A1" w:rsidP="002E637F">
      <w:r>
        <w:separator/>
      </w:r>
    </w:p>
  </w:footnote>
  <w:footnote w:type="continuationSeparator" w:id="0">
    <w:p w:rsidR="00C768A1" w:rsidRDefault="00C768A1" w:rsidP="002E6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B5" w:rsidRDefault="007016B5" w:rsidP="002E637F">
    <w:pPr>
      <w:pStyle w:val="Header"/>
    </w:pPr>
    <w:r>
      <w:rPr>
        <w:noProof/>
        <w:lang w:val="en-AU" w:eastAsia="en-AU" w:bidi="ar-SA"/>
      </w:rPr>
      <w:drawing>
        <wp:inline distT="0" distB="0" distL="0" distR="0">
          <wp:extent cx="1921894" cy="389949"/>
          <wp:effectExtent l="19050" t="0" r="2156" b="0"/>
          <wp:docPr id="7" name="Picture 0" descr="logo-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der.png"/>
                  <pic:cNvPicPr/>
                </pic:nvPicPr>
                <pic:blipFill>
                  <a:blip r:embed="rId1"/>
                  <a:stretch>
                    <a:fillRect/>
                  </a:stretch>
                </pic:blipFill>
                <pic:spPr>
                  <a:xfrm>
                    <a:off x="0" y="0"/>
                    <a:ext cx="1921631" cy="389896"/>
                  </a:xfrm>
                  <a:prstGeom prst="rect">
                    <a:avLst/>
                  </a:prstGeom>
                </pic:spPr>
              </pic:pic>
            </a:graphicData>
          </a:graphic>
        </wp:inline>
      </w:drawing>
    </w:r>
    <w:r>
      <w:rPr>
        <w:rStyle w:val="TitleChar"/>
        <w:spacing w:val="-20"/>
        <w:sz w:val="28"/>
        <w:szCs w:val="28"/>
      </w:rPr>
      <w:tab/>
    </w:r>
    <w:r w:rsidRPr="002517D4">
      <w:rPr>
        <w:rStyle w:val="TitleChar"/>
        <w:spacing w:val="-20"/>
        <w:sz w:val="28"/>
        <w:szCs w:val="28"/>
      </w:rPr>
      <w:t>Fact Sheet: ACT State of the Environment Report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211E"/>
    <w:multiLevelType w:val="hybridMultilevel"/>
    <w:tmpl w:val="19BED8E6"/>
    <w:lvl w:ilvl="0" w:tplc="88EA0BD0">
      <w:start w:val="1"/>
      <w:numFmt w:val="bullet"/>
      <w:pStyle w:val="Bullet"/>
      <w:lvlText w:val=""/>
      <w:lvlJc w:val="left"/>
      <w:pPr>
        <w:tabs>
          <w:tab w:val="num" w:pos="360"/>
        </w:tabs>
        <w:ind w:left="360" w:hanging="360"/>
      </w:pPr>
      <w:rPr>
        <w:rFonts w:ascii="Wingdings" w:hAnsi="Wingdings"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9615171"/>
    <w:multiLevelType w:val="hybridMultilevel"/>
    <w:tmpl w:val="28FCAEA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D9A64A2"/>
    <w:multiLevelType w:val="hybridMultilevel"/>
    <w:tmpl w:val="EB74473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A9514A4"/>
    <w:multiLevelType w:val="hybridMultilevel"/>
    <w:tmpl w:val="34B69FE8"/>
    <w:lvl w:ilvl="0" w:tplc="FB707CA8">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627F7C08"/>
    <w:multiLevelType w:val="hybridMultilevel"/>
    <w:tmpl w:val="0718A116"/>
    <w:lvl w:ilvl="0" w:tplc="6C58E83C">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708454D4"/>
    <w:multiLevelType w:val="hybridMultilevel"/>
    <w:tmpl w:val="31D6570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729F05C9"/>
    <w:multiLevelType w:val="hybridMultilevel"/>
    <w:tmpl w:val="552CCDD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3"/>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2226"/>
  </w:hdrShapeDefaults>
  <w:footnotePr>
    <w:footnote w:id="-1"/>
    <w:footnote w:id="0"/>
  </w:footnotePr>
  <w:endnotePr>
    <w:endnote w:id="-1"/>
    <w:endnote w:id="0"/>
  </w:endnotePr>
  <w:compat/>
  <w:rsids>
    <w:rsidRoot w:val="00193A67"/>
    <w:rsid w:val="00005D93"/>
    <w:rsid w:val="0001668C"/>
    <w:rsid w:val="00021530"/>
    <w:rsid w:val="000406E9"/>
    <w:rsid w:val="000672FF"/>
    <w:rsid w:val="00080E89"/>
    <w:rsid w:val="00101D30"/>
    <w:rsid w:val="00111263"/>
    <w:rsid w:val="001125B9"/>
    <w:rsid w:val="0011665F"/>
    <w:rsid w:val="001623AF"/>
    <w:rsid w:val="00166A7D"/>
    <w:rsid w:val="00191132"/>
    <w:rsid w:val="00191578"/>
    <w:rsid w:val="00193A67"/>
    <w:rsid w:val="001C3B8B"/>
    <w:rsid w:val="001D0B46"/>
    <w:rsid w:val="00222420"/>
    <w:rsid w:val="00274348"/>
    <w:rsid w:val="00274E29"/>
    <w:rsid w:val="00275AD8"/>
    <w:rsid w:val="002861C5"/>
    <w:rsid w:val="00295C1C"/>
    <w:rsid w:val="002B264D"/>
    <w:rsid w:val="002E292F"/>
    <w:rsid w:val="002E637F"/>
    <w:rsid w:val="002E6F2B"/>
    <w:rsid w:val="003004A9"/>
    <w:rsid w:val="0030222E"/>
    <w:rsid w:val="0030516D"/>
    <w:rsid w:val="0030776B"/>
    <w:rsid w:val="00310345"/>
    <w:rsid w:val="00327DBA"/>
    <w:rsid w:val="00332F62"/>
    <w:rsid w:val="003629D6"/>
    <w:rsid w:val="00364115"/>
    <w:rsid w:val="0038333A"/>
    <w:rsid w:val="003D5BF3"/>
    <w:rsid w:val="003F4881"/>
    <w:rsid w:val="00406E16"/>
    <w:rsid w:val="00421EA1"/>
    <w:rsid w:val="00430C7B"/>
    <w:rsid w:val="004B03DF"/>
    <w:rsid w:val="004B79AC"/>
    <w:rsid w:val="004F46B9"/>
    <w:rsid w:val="00567FC7"/>
    <w:rsid w:val="00591A5D"/>
    <w:rsid w:val="005943F3"/>
    <w:rsid w:val="005A1B97"/>
    <w:rsid w:val="0060431E"/>
    <w:rsid w:val="00607C41"/>
    <w:rsid w:val="00617475"/>
    <w:rsid w:val="00627040"/>
    <w:rsid w:val="0063366B"/>
    <w:rsid w:val="006420A0"/>
    <w:rsid w:val="00642ABF"/>
    <w:rsid w:val="006610C4"/>
    <w:rsid w:val="00664EF3"/>
    <w:rsid w:val="00684F83"/>
    <w:rsid w:val="006D6994"/>
    <w:rsid w:val="006D6FE8"/>
    <w:rsid w:val="007016B5"/>
    <w:rsid w:val="00745DAC"/>
    <w:rsid w:val="00751EF9"/>
    <w:rsid w:val="00753EA6"/>
    <w:rsid w:val="007A1745"/>
    <w:rsid w:val="007B7A2E"/>
    <w:rsid w:val="007D2F82"/>
    <w:rsid w:val="008117D4"/>
    <w:rsid w:val="00841843"/>
    <w:rsid w:val="008503BB"/>
    <w:rsid w:val="00867500"/>
    <w:rsid w:val="00867D1E"/>
    <w:rsid w:val="00874BE6"/>
    <w:rsid w:val="008D09F1"/>
    <w:rsid w:val="008F4D69"/>
    <w:rsid w:val="00902886"/>
    <w:rsid w:val="00940C83"/>
    <w:rsid w:val="009435FA"/>
    <w:rsid w:val="0096532E"/>
    <w:rsid w:val="009B7078"/>
    <w:rsid w:val="009C04BB"/>
    <w:rsid w:val="009C4349"/>
    <w:rsid w:val="009D153D"/>
    <w:rsid w:val="00A7443B"/>
    <w:rsid w:val="00AA6454"/>
    <w:rsid w:val="00AC38F8"/>
    <w:rsid w:val="00B06458"/>
    <w:rsid w:val="00B06A56"/>
    <w:rsid w:val="00B15332"/>
    <w:rsid w:val="00B34FAC"/>
    <w:rsid w:val="00B41CCA"/>
    <w:rsid w:val="00B45D44"/>
    <w:rsid w:val="00B749F4"/>
    <w:rsid w:val="00BC31EA"/>
    <w:rsid w:val="00BC3991"/>
    <w:rsid w:val="00BD1C65"/>
    <w:rsid w:val="00C23C52"/>
    <w:rsid w:val="00C478FB"/>
    <w:rsid w:val="00C768A1"/>
    <w:rsid w:val="00C86D63"/>
    <w:rsid w:val="00CC3416"/>
    <w:rsid w:val="00D00631"/>
    <w:rsid w:val="00D10758"/>
    <w:rsid w:val="00D107CC"/>
    <w:rsid w:val="00D11345"/>
    <w:rsid w:val="00D26137"/>
    <w:rsid w:val="00D35DA3"/>
    <w:rsid w:val="00D45214"/>
    <w:rsid w:val="00D45FFA"/>
    <w:rsid w:val="00D47112"/>
    <w:rsid w:val="00D47F6E"/>
    <w:rsid w:val="00D50650"/>
    <w:rsid w:val="00D56612"/>
    <w:rsid w:val="00D738BF"/>
    <w:rsid w:val="00D82DE1"/>
    <w:rsid w:val="00D926C7"/>
    <w:rsid w:val="00DA073C"/>
    <w:rsid w:val="00DA5C52"/>
    <w:rsid w:val="00DB4C69"/>
    <w:rsid w:val="00DB4D01"/>
    <w:rsid w:val="00DC0C5F"/>
    <w:rsid w:val="00DC48A2"/>
    <w:rsid w:val="00DE1A34"/>
    <w:rsid w:val="00E312E7"/>
    <w:rsid w:val="00E372FE"/>
    <w:rsid w:val="00E52CD0"/>
    <w:rsid w:val="00E64120"/>
    <w:rsid w:val="00E944C2"/>
    <w:rsid w:val="00EB56AD"/>
    <w:rsid w:val="00EE52CA"/>
    <w:rsid w:val="00F433F7"/>
    <w:rsid w:val="00F47FA1"/>
    <w:rsid w:val="00F61A0C"/>
    <w:rsid w:val="00F71CDD"/>
    <w:rsid w:val="00F77F28"/>
    <w:rsid w:val="00F808F2"/>
    <w:rsid w:val="00F82F83"/>
    <w:rsid w:val="00FD2754"/>
    <w:rsid w:val="00FD7628"/>
    <w:rsid w:val="00FF45C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37F"/>
    <w:pPr>
      <w:spacing w:before="120" w:after="120"/>
      <w:ind w:firstLine="0"/>
    </w:pPr>
  </w:style>
  <w:style w:type="paragraph" w:styleId="Heading1">
    <w:name w:val="heading 1"/>
    <w:basedOn w:val="Normal"/>
    <w:next w:val="Normal"/>
    <w:link w:val="Heading1Char"/>
    <w:uiPriority w:val="9"/>
    <w:qFormat/>
    <w:rsid w:val="002E637F"/>
    <w:pPr>
      <w:pBdr>
        <w:bottom w:val="single" w:sz="12" w:space="1" w:color="B35E06" w:themeColor="accent1" w:themeShade="BF"/>
      </w:pBdr>
      <w:spacing w:before="360"/>
      <w:outlineLvl w:val="0"/>
    </w:pPr>
    <w:rPr>
      <w:rFonts w:asciiTheme="majorHAnsi" w:eastAsiaTheme="majorEastAsia" w:hAnsiTheme="majorHAnsi" w:cstheme="majorBidi"/>
      <w:b/>
      <w:bCs/>
      <w:noProof/>
      <w:color w:val="B35E06" w:themeColor="accent1" w:themeShade="BF"/>
      <w:sz w:val="48"/>
      <w:szCs w:val="48"/>
      <w:lang w:val="en-AU" w:eastAsia="en-AU" w:bidi="ar-SA"/>
    </w:rPr>
  </w:style>
  <w:style w:type="paragraph" w:styleId="Heading2">
    <w:name w:val="heading 2"/>
    <w:basedOn w:val="Normal"/>
    <w:next w:val="Normal"/>
    <w:link w:val="Heading2Char"/>
    <w:uiPriority w:val="9"/>
    <w:unhideWhenUsed/>
    <w:qFormat/>
    <w:rsid w:val="00D26137"/>
    <w:pPr>
      <w:pBdr>
        <w:bottom w:val="single" w:sz="8" w:space="1" w:color="F07F09" w:themeColor="accent1"/>
      </w:pBdr>
      <w:spacing w:before="200" w:after="80"/>
      <w:outlineLvl w:val="1"/>
    </w:pPr>
    <w:rPr>
      <w:rFonts w:asciiTheme="majorHAnsi" w:eastAsiaTheme="majorEastAsia" w:hAnsiTheme="majorHAnsi" w:cstheme="majorBidi"/>
      <w:color w:val="B35E06" w:themeColor="accent1" w:themeShade="BF"/>
      <w:sz w:val="24"/>
      <w:szCs w:val="24"/>
    </w:rPr>
  </w:style>
  <w:style w:type="paragraph" w:styleId="Heading3">
    <w:name w:val="heading 3"/>
    <w:basedOn w:val="Normal"/>
    <w:next w:val="Normal"/>
    <w:link w:val="Heading3Char"/>
    <w:uiPriority w:val="9"/>
    <w:unhideWhenUsed/>
    <w:qFormat/>
    <w:rsid w:val="00D26137"/>
    <w:pPr>
      <w:pBdr>
        <w:bottom w:val="single" w:sz="4" w:space="1" w:color="F9B268" w:themeColor="accent1" w:themeTint="99"/>
      </w:pBdr>
      <w:spacing w:before="200" w:after="80"/>
      <w:outlineLvl w:val="2"/>
    </w:pPr>
    <w:rPr>
      <w:rFonts w:asciiTheme="majorHAnsi" w:eastAsiaTheme="majorEastAsia" w:hAnsiTheme="majorHAnsi" w:cstheme="majorBidi"/>
      <w:color w:val="F07F09" w:themeColor="accent1"/>
      <w:sz w:val="24"/>
      <w:szCs w:val="24"/>
    </w:rPr>
  </w:style>
  <w:style w:type="paragraph" w:styleId="Heading4">
    <w:name w:val="heading 4"/>
    <w:basedOn w:val="Normal"/>
    <w:next w:val="Normal"/>
    <w:link w:val="Heading4Char"/>
    <w:uiPriority w:val="9"/>
    <w:unhideWhenUsed/>
    <w:qFormat/>
    <w:rsid w:val="00D26137"/>
    <w:pPr>
      <w:pBdr>
        <w:bottom w:val="single" w:sz="4" w:space="2" w:color="FBCB9A" w:themeColor="accent1" w:themeTint="66"/>
      </w:pBdr>
      <w:spacing w:before="200" w:after="80"/>
      <w:outlineLvl w:val="3"/>
    </w:pPr>
    <w:rPr>
      <w:rFonts w:asciiTheme="majorHAnsi" w:eastAsiaTheme="majorEastAsia" w:hAnsiTheme="majorHAnsi" w:cstheme="majorBidi"/>
      <w:i/>
      <w:iCs/>
      <w:color w:val="F07F09" w:themeColor="accent1"/>
      <w:sz w:val="24"/>
      <w:szCs w:val="24"/>
    </w:rPr>
  </w:style>
  <w:style w:type="paragraph" w:styleId="Heading5">
    <w:name w:val="heading 5"/>
    <w:basedOn w:val="Normal"/>
    <w:next w:val="Normal"/>
    <w:link w:val="Heading5Char"/>
    <w:uiPriority w:val="9"/>
    <w:unhideWhenUsed/>
    <w:qFormat/>
    <w:rsid w:val="00D26137"/>
    <w:pPr>
      <w:spacing w:before="200" w:after="80"/>
      <w:outlineLvl w:val="4"/>
    </w:pPr>
    <w:rPr>
      <w:rFonts w:asciiTheme="majorHAnsi" w:eastAsiaTheme="majorEastAsia" w:hAnsiTheme="majorHAnsi" w:cstheme="majorBidi"/>
      <w:color w:val="F07F09" w:themeColor="accent1"/>
    </w:rPr>
  </w:style>
  <w:style w:type="paragraph" w:styleId="Heading6">
    <w:name w:val="heading 6"/>
    <w:basedOn w:val="Normal"/>
    <w:next w:val="Normal"/>
    <w:link w:val="Heading6Char"/>
    <w:uiPriority w:val="9"/>
    <w:semiHidden/>
    <w:unhideWhenUsed/>
    <w:qFormat/>
    <w:rsid w:val="00D26137"/>
    <w:pPr>
      <w:spacing w:before="280" w:after="100"/>
      <w:outlineLvl w:val="5"/>
    </w:pPr>
    <w:rPr>
      <w:rFonts w:asciiTheme="majorHAnsi" w:eastAsiaTheme="majorEastAsia" w:hAnsiTheme="majorHAnsi" w:cstheme="majorBidi"/>
      <w:i/>
      <w:iCs/>
      <w:color w:val="F07F09" w:themeColor="accent1"/>
    </w:rPr>
  </w:style>
  <w:style w:type="paragraph" w:styleId="Heading7">
    <w:name w:val="heading 7"/>
    <w:basedOn w:val="Normal"/>
    <w:next w:val="Normal"/>
    <w:link w:val="Heading7Char"/>
    <w:uiPriority w:val="9"/>
    <w:semiHidden/>
    <w:unhideWhenUsed/>
    <w:qFormat/>
    <w:rsid w:val="00D26137"/>
    <w:pPr>
      <w:spacing w:before="320" w:after="100"/>
      <w:outlineLvl w:val="6"/>
    </w:pPr>
    <w:rPr>
      <w:rFonts w:asciiTheme="majorHAnsi" w:eastAsiaTheme="majorEastAsia" w:hAnsiTheme="majorHAnsi" w:cstheme="majorBidi"/>
      <w:b/>
      <w:bCs/>
      <w:color w:val="1B587C" w:themeColor="accent3"/>
      <w:sz w:val="20"/>
      <w:szCs w:val="20"/>
    </w:rPr>
  </w:style>
  <w:style w:type="paragraph" w:styleId="Heading8">
    <w:name w:val="heading 8"/>
    <w:basedOn w:val="Normal"/>
    <w:next w:val="Normal"/>
    <w:link w:val="Heading8Char"/>
    <w:uiPriority w:val="9"/>
    <w:semiHidden/>
    <w:unhideWhenUsed/>
    <w:qFormat/>
    <w:rsid w:val="00D26137"/>
    <w:pPr>
      <w:spacing w:before="320" w:after="100"/>
      <w:outlineLvl w:val="7"/>
    </w:pPr>
    <w:rPr>
      <w:rFonts w:asciiTheme="majorHAnsi" w:eastAsiaTheme="majorEastAsia" w:hAnsiTheme="majorHAnsi" w:cstheme="majorBidi"/>
      <w:b/>
      <w:bCs/>
      <w:i/>
      <w:iCs/>
      <w:color w:val="1B587C" w:themeColor="accent3"/>
      <w:sz w:val="20"/>
      <w:szCs w:val="20"/>
    </w:rPr>
  </w:style>
  <w:style w:type="paragraph" w:styleId="Heading9">
    <w:name w:val="heading 9"/>
    <w:basedOn w:val="Normal"/>
    <w:next w:val="Normal"/>
    <w:link w:val="Heading9Char"/>
    <w:uiPriority w:val="9"/>
    <w:semiHidden/>
    <w:unhideWhenUsed/>
    <w:qFormat/>
    <w:rsid w:val="00D26137"/>
    <w:pPr>
      <w:spacing w:before="320" w:after="100"/>
      <w:outlineLvl w:val="8"/>
    </w:pPr>
    <w:rPr>
      <w:rFonts w:asciiTheme="majorHAnsi" w:eastAsiaTheme="majorEastAsia" w:hAnsiTheme="majorHAnsi" w:cstheme="majorBidi"/>
      <w:i/>
      <w:iCs/>
      <w:color w:val="1B587C"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37F"/>
    <w:rPr>
      <w:rFonts w:asciiTheme="majorHAnsi" w:eastAsiaTheme="majorEastAsia" w:hAnsiTheme="majorHAnsi" w:cstheme="majorBidi"/>
      <w:b/>
      <w:bCs/>
      <w:noProof/>
      <w:color w:val="B35E06" w:themeColor="accent1" w:themeShade="BF"/>
      <w:sz w:val="48"/>
      <w:szCs w:val="48"/>
      <w:lang w:val="en-AU" w:eastAsia="en-AU" w:bidi="ar-SA"/>
    </w:rPr>
  </w:style>
  <w:style w:type="character" w:customStyle="1" w:styleId="Heading2Char">
    <w:name w:val="Heading 2 Char"/>
    <w:basedOn w:val="DefaultParagraphFont"/>
    <w:link w:val="Heading2"/>
    <w:uiPriority w:val="9"/>
    <w:rsid w:val="00D26137"/>
    <w:rPr>
      <w:rFonts w:asciiTheme="majorHAnsi" w:eastAsiaTheme="majorEastAsia" w:hAnsiTheme="majorHAnsi" w:cstheme="majorBidi"/>
      <w:color w:val="B35E06" w:themeColor="accent1" w:themeShade="BF"/>
      <w:sz w:val="24"/>
      <w:szCs w:val="24"/>
    </w:rPr>
  </w:style>
  <w:style w:type="character" w:customStyle="1" w:styleId="Heading3Char">
    <w:name w:val="Heading 3 Char"/>
    <w:basedOn w:val="DefaultParagraphFont"/>
    <w:link w:val="Heading3"/>
    <w:uiPriority w:val="9"/>
    <w:rsid w:val="00D26137"/>
    <w:rPr>
      <w:rFonts w:asciiTheme="majorHAnsi" w:eastAsiaTheme="majorEastAsia" w:hAnsiTheme="majorHAnsi" w:cstheme="majorBidi"/>
      <w:color w:val="F07F09" w:themeColor="accent1"/>
      <w:sz w:val="24"/>
      <w:szCs w:val="24"/>
    </w:rPr>
  </w:style>
  <w:style w:type="character" w:customStyle="1" w:styleId="Heading4Char">
    <w:name w:val="Heading 4 Char"/>
    <w:basedOn w:val="DefaultParagraphFont"/>
    <w:link w:val="Heading4"/>
    <w:uiPriority w:val="9"/>
    <w:rsid w:val="00D26137"/>
    <w:rPr>
      <w:rFonts w:asciiTheme="majorHAnsi" w:eastAsiaTheme="majorEastAsia" w:hAnsiTheme="majorHAnsi" w:cstheme="majorBidi"/>
      <w:i/>
      <w:iCs/>
      <w:color w:val="F07F09" w:themeColor="accent1"/>
      <w:sz w:val="24"/>
      <w:szCs w:val="24"/>
    </w:rPr>
  </w:style>
  <w:style w:type="character" w:customStyle="1" w:styleId="Heading5Char">
    <w:name w:val="Heading 5 Char"/>
    <w:basedOn w:val="DefaultParagraphFont"/>
    <w:link w:val="Heading5"/>
    <w:uiPriority w:val="9"/>
    <w:rsid w:val="00D26137"/>
    <w:rPr>
      <w:rFonts w:asciiTheme="majorHAnsi" w:eastAsiaTheme="majorEastAsia" w:hAnsiTheme="majorHAnsi" w:cstheme="majorBidi"/>
      <w:color w:val="F07F09" w:themeColor="accent1"/>
    </w:rPr>
  </w:style>
  <w:style w:type="character" w:customStyle="1" w:styleId="Heading6Char">
    <w:name w:val="Heading 6 Char"/>
    <w:basedOn w:val="DefaultParagraphFont"/>
    <w:link w:val="Heading6"/>
    <w:uiPriority w:val="9"/>
    <w:semiHidden/>
    <w:rsid w:val="00D26137"/>
    <w:rPr>
      <w:rFonts w:asciiTheme="majorHAnsi" w:eastAsiaTheme="majorEastAsia" w:hAnsiTheme="majorHAnsi" w:cstheme="majorBidi"/>
      <w:i/>
      <w:iCs/>
      <w:color w:val="F07F09" w:themeColor="accent1"/>
    </w:rPr>
  </w:style>
  <w:style w:type="character" w:customStyle="1" w:styleId="Heading7Char">
    <w:name w:val="Heading 7 Char"/>
    <w:basedOn w:val="DefaultParagraphFont"/>
    <w:link w:val="Heading7"/>
    <w:uiPriority w:val="9"/>
    <w:semiHidden/>
    <w:rsid w:val="00D26137"/>
    <w:rPr>
      <w:rFonts w:asciiTheme="majorHAnsi" w:eastAsiaTheme="majorEastAsia" w:hAnsiTheme="majorHAnsi" w:cstheme="majorBidi"/>
      <w:b/>
      <w:bCs/>
      <w:color w:val="1B587C" w:themeColor="accent3"/>
      <w:sz w:val="20"/>
      <w:szCs w:val="20"/>
    </w:rPr>
  </w:style>
  <w:style w:type="character" w:customStyle="1" w:styleId="Heading8Char">
    <w:name w:val="Heading 8 Char"/>
    <w:basedOn w:val="DefaultParagraphFont"/>
    <w:link w:val="Heading8"/>
    <w:uiPriority w:val="9"/>
    <w:semiHidden/>
    <w:rsid w:val="00D26137"/>
    <w:rPr>
      <w:rFonts w:asciiTheme="majorHAnsi" w:eastAsiaTheme="majorEastAsia" w:hAnsiTheme="majorHAnsi" w:cstheme="majorBidi"/>
      <w:b/>
      <w:bCs/>
      <w:i/>
      <w:iCs/>
      <w:color w:val="1B587C" w:themeColor="accent3"/>
      <w:sz w:val="20"/>
      <w:szCs w:val="20"/>
    </w:rPr>
  </w:style>
  <w:style w:type="character" w:customStyle="1" w:styleId="Heading9Char">
    <w:name w:val="Heading 9 Char"/>
    <w:basedOn w:val="DefaultParagraphFont"/>
    <w:link w:val="Heading9"/>
    <w:uiPriority w:val="9"/>
    <w:semiHidden/>
    <w:rsid w:val="00D26137"/>
    <w:rPr>
      <w:rFonts w:asciiTheme="majorHAnsi" w:eastAsiaTheme="majorEastAsia" w:hAnsiTheme="majorHAnsi" w:cstheme="majorBidi"/>
      <w:i/>
      <w:iCs/>
      <w:color w:val="1B587C" w:themeColor="accent3"/>
      <w:sz w:val="20"/>
      <w:szCs w:val="20"/>
    </w:rPr>
  </w:style>
  <w:style w:type="paragraph" w:styleId="Caption">
    <w:name w:val="caption"/>
    <w:basedOn w:val="Normal"/>
    <w:next w:val="Normal"/>
    <w:uiPriority w:val="35"/>
    <w:unhideWhenUsed/>
    <w:qFormat/>
    <w:rsid w:val="00D26137"/>
    <w:rPr>
      <w:b/>
      <w:bCs/>
      <w:sz w:val="18"/>
      <w:szCs w:val="18"/>
    </w:rPr>
  </w:style>
  <w:style w:type="paragraph" w:styleId="Title">
    <w:name w:val="Title"/>
    <w:basedOn w:val="Normal"/>
    <w:next w:val="Normal"/>
    <w:link w:val="TitleChar"/>
    <w:uiPriority w:val="10"/>
    <w:qFormat/>
    <w:rsid w:val="00D26137"/>
    <w:pPr>
      <w:pBdr>
        <w:top w:val="single" w:sz="8" w:space="10" w:color="FABF81" w:themeColor="accent1" w:themeTint="7F"/>
        <w:bottom w:val="single" w:sz="24" w:space="15" w:color="1B587C" w:themeColor="accent3"/>
      </w:pBdr>
      <w:jc w:val="center"/>
    </w:pPr>
    <w:rPr>
      <w:rFonts w:asciiTheme="majorHAnsi" w:eastAsiaTheme="majorEastAsia" w:hAnsiTheme="majorHAnsi" w:cstheme="majorBidi"/>
      <w:i/>
      <w:iCs/>
      <w:color w:val="773F04" w:themeColor="accent1" w:themeShade="7F"/>
      <w:sz w:val="60"/>
      <w:szCs w:val="60"/>
    </w:rPr>
  </w:style>
  <w:style w:type="character" w:customStyle="1" w:styleId="TitleChar">
    <w:name w:val="Title Char"/>
    <w:basedOn w:val="DefaultParagraphFont"/>
    <w:link w:val="Title"/>
    <w:uiPriority w:val="10"/>
    <w:rsid w:val="00D26137"/>
    <w:rPr>
      <w:rFonts w:asciiTheme="majorHAnsi" w:eastAsiaTheme="majorEastAsia" w:hAnsiTheme="majorHAnsi" w:cstheme="majorBidi"/>
      <w:i/>
      <w:iCs/>
      <w:color w:val="773F04" w:themeColor="accent1" w:themeShade="7F"/>
      <w:sz w:val="60"/>
      <w:szCs w:val="60"/>
    </w:rPr>
  </w:style>
  <w:style w:type="paragraph" w:styleId="Subtitle">
    <w:name w:val="Subtitle"/>
    <w:basedOn w:val="Normal"/>
    <w:next w:val="Normal"/>
    <w:link w:val="SubtitleChar"/>
    <w:uiPriority w:val="11"/>
    <w:qFormat/>
    <w:rsid w:val="00D26137"/>
    <w:pPr>
      <w:spacing w:before="200" w:after="900"/>
      <w:jc w:val="right"/>
    </w:pPr>
    <w:rPr>
      <w:i/>
      <w:iCs/>
      <w:sz w:val="24"/>
      <w:szCs w:val="24"/>
    </w:rPr>
  </w:style>
  <w:style w:type="character" w:customStyle="1" w:styleId="SubtitleChar">
    <w:name w:val="Subtitle Char"/>
    <w:basedOn w:val="DefaultParagraphFont"/>
    <w:link w:val="Subtitle"/>
    <w:uiPriority w:val="11"/>
    <w:rsid w:val="00D26137"/>
    <w:rPr>
      <w:rFonts w:asciiTheme="minorHAnsi"/>
      <w:i/>
      <w:iCs/>
      <w:sz w:val="24"/>
      <w:szCs w:val="24"/>
    </w:rPr>
  </w:style>
  <w:style w:type="character" w:styleId="Strong">
    <w:name w:val="Strong"/>
    <w:basedOn w:val="DefaultParagraphFont"/>
    <w:uiPriority w:val="22"/>
    <w:qFormat/>
    <w:rsid w:val="00D26137"/>
    <w:rPr>
      <w:b/>
      <w:bCs/>
      <w:spacing w:val="0"/>
    </w:rPr>
  </w:style>
  <w:style w:type="character" w:styleId="Emphasis">
    <w:name w:val="Emphasis"/>
    <w:uiPriority w:val="20"/>
    <w:qFormat/>
    <w:rsid w:val="00D26137"/>
    <w:rPr>
      <w:b/>
      <w:bCs/>
      <w:i/>
      <w:iCs/>
      <w:color w:val="5A5A5A" w:themeColor="text1" w:themeTint="A5"/>
    </w:rPr>
  </w:style>
  <w:style w:type="paragraph" w:styleId="NoSpacing">
    <w:name w:val="No Spacing"/>
    <w:basedOn w:val="Normal"/>
    <w:link w:val="NoSpacingChar"/>
    <w:uiPriority w:val="1"/>
    <w:qFormat/>
    <w:rsid w:val="00D26137"/>
  </w:style>
  <w:style w:type="character" w:customStyle="1" w:styleId="NoSpacingChar">
    <w:name w:val="No Spacing Char"/>
    <w:basedOn w:val="DefaultParagraphFont"/>
    <w:link w:val="NoSpacing"/>
    <w:uiPriority w:val="1"/>
    <w:rsid w:val="00D26137"/>
  </w:style>
  <w:style w:type="paragraph" w:styleId="ListParagraph">
    <w:name w:val="List Paragraph"/>
    <w:basedOn w:val="Normal"/>
    <w:uiPriority w:val="34"/>
    <w:qFormat/>
    <w:rsid w:val="00D26137"/>
    <w:pPr>
      <w:ind w:left="720"/>
      <w:contextualSpacing/>
    </w:pPr>
  </w:style>
  <w:style w:type="paragraph" w:styleId="Quote">
    <w:name w:val="Quote"/>
    <w:basedOn w:val="Normal"/>
    <w:next w:val="Normal"/>
    <w:link w:val="QuoteChar"/>
    <w:uiPriority w:val="29"/>
    <w:qFormat/>
    <w:rsid w:val="00D26137"/>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2613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26137"/>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26137"/>
    <w:rPr>
      <w:rFonts w:asciiTheme="majorHAnsi" w:eastAsiaTheme="majorEastAsia" w:hAnsiTheme="majorHAnsi" w:cstheme="majorBidi"/>
      <w:i/>
      <w:iCs/>
      <w:color w:val="FFFFFF" w:themeColor="background1"/>
      <w:sz w:val="24"/>
      <w:szCs w:val="24"/>
      <w:shd w:val="clear" w:color="auto" w:fill="F07F09" w:themeFill="accent1"/>
    </w:rPr>
  </w:style>
  <w:style w:type="character" w:styleId="SubtleEmphasis">
    <w:name w:val="Subtle Emphasis"/>
    <w:uiPriority w:val="19"/>
    <w:qFormat/>
    <w:rsid w:val="00D26137"/>
    <w:rPr>
      <w:i/>
      <w:iCs/>
      <w:color w:val="5A5A5A" w:themeColor="text1" w:themeTint="A5"/>
    </w:rPr>
  </w:style>
  <w:style w:type="character" w:styleId="IntenseEmphasis">
    <w:name w:val="Intense Emphasis"/>
    <w:uiPriority w:val="21"/>
    <w:qFormat/>
    <w:rsid w:val="00D26137"/>
    <w:rPr>
      <w:b/>
      <w:bCs/>
      <w:i/>
      <w:iCs/>
      <w:color w:val="F07F09" w:themeColor="accent1"/>
      <w:sz w:val="22"/>
      <w:szCs w:val="22"/>
    </w:rPr>
  </w:style>
  <w:style w:type="character" w:styleId="SubtleReference">
    <w:name w:val="Subtle Reference"/>
    <w:uiPriority w:val="31"/>
    <w:qFormat/>
    <w:rsid w:val="00D26137"/>
    <w:rPr>
      <w:color w:val="auto"/>
      <w:u w:val="single" w:color="1B587C" w:themeColor="accent3"/>
    </w:rPr>
  </w:style>
  <w:style w:type="character" w:styleId="IntenseReference">
    <w:name w:val="Intense Reference"/>
    <w:basedOn w:val="DefaultParagraphFont"/>
    <w:uiPriority w:val="32"/>
    <w:qFormat/>
    <w:rsid w:val="00D26137"/>
    <w:rPr>
      <w:b/>
      <w:bCs/>
      <w:color w:val="14415C" w:themeColor="accent3" w:themeShade="BF"/>
      <w:u w:val="single" w:color="1B587C" w:themeColor="accent3"/>
    </w:rPr>
  </w:style>
  <w:style w:type="character" w:styleId="BookTitle">
    <w:name w:val="Book Title"/>
    <w:basedOn w:val="DefaultParagraphFont"/>
    <w:uiPriority w:val="33"/>
    <w:qFormat/>
    <w:rsid w:val="00D2613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26137"/>
    <w:pPr>
      <w:outlineLvl w:val="9"/>
    </w:pPr>
  </w:style>
  <w:style w:type="paragraph" w:styleId="Header">
    <w:name w:val="header"/>
    <w:basedOn w:val="Normal"/>
    <w:link w:val="HeaderChar"/>
    <w:uiPriority w:val="99"/>
    <w:unhideWhenUsed/>
    <w:rsid w:val="00DB4C69"/>
    <w:pPr>
      <w:tabs>
        <w:tab w:val="center" w:pos="4513"/>
        <w:tab w:val="right" w:pos="9026"/>
      </w:tabs>
    </w:pPr>
  </w:style>
  <w:style w:type="character" w:customStyle="1" w:styleId="HeaderChar">
    <w:name w:val="Header Char"/>
    <w:basedOn w:val="DefaultParagraphFont"/>
    <w:link w:val="Header"/>
    <w:uiPriority w:val="99"/>
    <w:rsid w:val="00DB4C69"/>
  </w:style>
  <w:style w:type="paragraph" w:styleId="Footer">
    <w:name w:val="footer"/>
    <w:basedOn w:val="Normal"/>
    <w:link w:val="FooterChar"/>
    <w:uiPriority w:val="99"/>
    <w:unhideWhenUsed/>
    <w:rsid w:val="00DB4C69"/>
    <w:pPr>
      <w:tabs>
        <w:tab w:val="center" w:pos="4513"/>
        <w:tab w:val="right" w:pos="9026"/>
      </w:tabs>
    </w:pPr>
  </w:style>
  <w:style w:type="character" w:customStyle="1" w:styleId="FooterChar">
    <w:name w:val="Footer Char"/>
    <w:basedOn w:val="DefaultParagraphFont"/>
    <w:link w:val="Footer"/>
    <w:uiPriority w:val="99"/>
    <w:rsid w:val="00DB4C69"/>
  </w:style>
  <w:style w:type="character" w:customStyle="1" w:styleId="Subscript">
    <w:name w:val="Subscript"/>
    <w:uiPriority w:val="1"/>
    <w:rsid w:val="003D5BF3"/>
    <w:rPr>
      <w:noProof/>
      <w:vertAlign w:val="subscript"/>
    </w:rPr>
  </w:style>
  <w:style w:type="paragraph" w:styleId="CommentText">
    <w:name w:val="annotation text"/>
    <w:basedOn w:val="Normal"/>
    <w:link w:val="CommentTextChar"/>
    <w:uiPriority w:val="99"/>
    <w:unhideWhenUsed/>
    <w:rsid w:val="003D5BF3"/>
    <w:pPr>
      <w:spacing w:after="240"/>
    </w:pPr>
    <w:rPr>
      <w:rFonts w:ascii="Calibri" w:eastAsia="Times New Roman" w:hAnsi="Calibri" w:cs="Times New Roman"/>
      <w:color w:val="000000"/>
      <w:sz w:val="20"/>
      <w:szCs w:val="20"/>
      <w:lang w:val="en-AU" w:eastAsia="en-AU" w:bidi="ar-SA"/>
    </w:rPr>
  </w:style>
  <w:style w:type="character" w:customStyle="1" w:styleId="CommentTextChar">
    <w:name w:val="Comment Text Char"/>
    <w:basedOn w:val="DefaultParagraphFont"/>
    <w:link w:val="CommentText"/>
    <w:uiPriority w:val="99"/>
    <w:rsid w:val="003D5BF3"/>
    <w:rPr>
      <w:rFonts w:ascii="Calibri" w:eastAsia="Times New Roman" w:hAnsi="Calibri" w:cs="Times New Roman"/>
      <w:color w:val="000000"/>
      <w:sz w:val="20"/>
      <w:szCs w:val="20"/>
      <w:lang w:val="en-AU" w:eastAsia="en-AU" w:bidi="ar-SA"/>
    </w:rPr>
  </w:style>
  <w:style w:type="character" w:styleId="CommentReference">
    <w:name w:val="annotation reference"/>
    <w:uiPriority w:val="99"/>
    <w:unhideWhenUsed/>
    <w:rsid w:val="003D5BF3"/>
    <w:rPr>
      <w:sz w:val="16"/>
      <w:szCs w:val="16"/>
    </w:rPr>
  </w:style>
  <w:style w:type="paragraph" w:customStyle="1" w:styleId="References">
    <w:name w:val="References"/>
    <w:basedOn w:val="Normal"/>
    <w:rsid w:val="003D5BF3"/>
    <w:pPr>
      <w:keepLines/>
      <w:spacing w:after="240"/>
      <w:ind w:left="720" w:hanging="720"/>
    </w:pPr>
    <w:rPr>
      <w:rFonts w:ascii="Calibri" w:eastAsia="Times New Roman" w:hAnsi="Calibri" w:cs="Times New Roman"/>
      <w:color w:val="000000"/>
      <w:szCs w:val="20"/>
      <w:lang w:val="en-AU" w:eastAsia="en-AU" w:bidi="ar-SA"/>
    </w:rPr>
  </w:style>
  <w:style w:type="character" w:styleId="EndnoteReference">
    <w:name w:val="endnote reference"/>
    <w:uiPriority w:val="99"/>
    <w:semiHidden/>
    <w:unhideWhenUsed/>
    <w:rsid w:val="003D5BF3"/>
    <w:rPr>
      <w:vertAlign w:val="superscript"/>
    </w:rPr>
  </w:style>
  <w:style w:type="paragraph" w:styleId="BalloonText">
    <w:name w:val="Balloon Text"/>
    <w:basedOn w:val="Normal"/>
    <w:link w:val="BalloonTextChar"/>
    <w:uiPriority w:val="99"/>
    <w:semiHidden/>
    <w:unhideWhenUsed/>
    <w:rsid w:val="003D5BF3"/>
    <w:rPr>
      <w:rFonts w:ascii="Tahoma" w:hAnsi="Tahoma" w:cs="Tahoma"/>
      <w:sz w:val="16"/>
      <w:szCs w:val="16"/>
    </w:rPr>
  </w:style>
  <w:style w:type="character" w:customStyle="1" w:styleId="BalloonTextChar">
    <w:name w:val="Balloon Text Char"/>
    <w:basedOn w:val="DefaultParagraphFont"/>
    <w:link w:val="BalloonText"/>
    <w:uiPriority w:val="99"/>
    <w:semiHidden/>
    <w:rsid w:val="003D5BF3"/>
    <w:rPr>
      <w:rFonts w:ascii="Tahoma" w:hAnsi="Tahoma" w:cs="Tahoma"/>
      <w:sz w:val="16"/>
      <w:szCs w:val="16"/>
    </w:rPr>
  </w:style>
  <w:style w:type="paragraph" w:customStyle="1" w:styleId="Bullet">
    <w:name w:val="Bullet"/>
    <w:basedOn w:val="BulletBeforeDash"/>
    <w:link w:val="BulletChar"/>
    <w:qFormat/>
    <w:rsid w:val="002861C5"/>
    <w:pPr>
      <w:numPr>
        <w:numId w:val="7"/>
      </w:numPr>
      <w:tabs>
        <w:tab w:val="clear" w:pos="360"/>
        <w:tab w:val="num" w:pos="567"/>
      </w:tabs>
      <w:spacing w:before="0"/>
      <w:ind w:left="567" w:hanging="283"/>
    </w:pPr>
  </w:style>
  <w:style w:type="character" w:customStyle="1" w:styleId="BulletChar">
    <w:name w:val="Bullet Char"/>
    <w:link w:val="Bullet"/>
    <w:locked/>
    <w:rsid w:val="002861C5"/>
    <w:rPr>
      <w:rFonts w:ascii="Calibri" w:eastAsia="Times New Roman" w:hAnsi="Calibri" w:cs="Times New Roman"/>
      <w:color w:val="000000"/>
      <w:szCs w:val="20"/>
      <w:lang w:val="en-AU" w:eastAsia="en-AU" w:bidi="ar-SA"/>
    </w:rPr>
  </w:style>
  <w:style w:type="paragraph" w:customStyle="1" w:styleId="BulletBeforeDash">
    <w:name w:val="BulletBeforeDash"/>
    <w:basedOn w:val="Normal"/>
    <w:rsid w:val="00295C1C"/>
    <w:pPr>
      <w:numPr>
        <w:numId w:val="4"/>
      </w:numPr>
    </w:pPr>
    <w:rPr>
      <w:rFonts w:ascii="Calibri" w:eastAsia="Times New Roman" w:hAnsi="Calibri" w:cs="Times New Roman"/>
      <w:color w:val="000000"/>
      <w:szCs w:val="20"/>
      <w:lang w:val="en-AU" w:eastAsia="en-AU" w:bidi="ar-SA"/>
    </w:rPr>
  </w:style>
  <w:style w:type="paragraph" w:customStyle="1" w:styleId="BulletLast">
    <w:name w:val="BulletLast"/>
    <w:basedOn w:val="Bullet"/>
    <w:rsid w:val="00295C1C"/>
    <w:pPr>
      <w:spacing w:after="240"/>
    </w:pPr>
  </w:style>
  <w:style w:type="paragraph" w:customStyle="1" w:styleId="NormalBeforeBullet">
    <w:name w:val="NormalBeforeBullet"/>
    <w:basedOn w:val="Normal"/>
    <w:qFormat/>
    <w:rsid w:val="00295C1C"/>
    <w:pPr>
      <w:keepNext/>
    </w:pPr>
    <w:rPr>
      <w:rFonts w:ascii="Calibri" w:eastAsia="Times New Roman" w:hAnsi="Calibri" w:cs="Times New Roman"/>
      <w:color w:val="000000"/>
      <w:szCs w:val="20"/>
      <w:lang w:val="en-AU" w:eastAsia="en-AU" w:bidi="ar-SA"/>
    </w:rPr>
  </w:style>
  <w:style w:type="paragraph" w:styleId="EndnoteText">
    <w:name w:val="endnote text"/>
    <w:basedOn w:val="Normal"/>
    <w:link w:val="EndnoteTextChar"/>
    <w:uiPriority w:val="99"/>
    <w:unhideWhenUsed/>
    <w:rsid w:val="00295C1C"/>
    <w:pPr>
      <w:spacing w:after="240"/>
    </w:pPr>
    <w:rPr>
      <w:rFonts w:ascii="Calibri" w:eastAsia="Times New Roman" w:hAnsi="Calibri" w:cs="Times New Roman"/>
      <w:color w:val="000000"/>
      <w:sz w:val="20"/>
      <w:szCs w:val="20"/>
      <w:lang w:val="en-AU" w:eastAsia="en-AU" w:bidi="ar-SA"/>
    </w:rPr>
  </w:style>
  <w:style w:type="character" w:customStyle="1" w:styleId="EndnoteTextChar">
    <w:name w:val="Endnote Text Char"/>
    <w:basedOn w:val="DefaultParagraphFont"/>
    <w:link w:val="EndnoteText"/>
    <w:uiPriority w:val="99"/>
    <w:rsid w:val="00295C1C"/>
    <w:rPr>
      <w:rFonts w:ascii="Calibri" w:eastAsia="Times New Roman" w:hAnsi="Calibri" w:cs="Times New Roman"/>
      <w:color w:val="000000"/>
      <w:sz w:val="20"/>
      <w:szCs w:val="20"/>
      <w:lang w:val="en-AU" w:eastAsia="en-AU" w:bidi="ar-SA"/>
    </w:rPr>
  </w:style>
  <w:style w:type="paragraph" w:styleId="CommentSubject">
    <w:name w:val="annotation subject"/>
    <w:basedOn w:val="CommentText"/>
    <w:next w:val="CommentText"/>
    <w:link w:val="CommentSubjectChar"/>
    <w:uiPriority w:val="99"/>
    <w:semiHidden/>
    <w:unhideWhenUsed/>
    <w:rsid w:val="002E637F"/>
    <w:pPr>
      <w:spacing w:after="120"/>
    </w:pPr>
    <w:rPr>
      <w:rFonts w:asciiTheme="minorHAnsi" w:eastAsiaTheme="minorHAnsi" w:hAnsiTheme="minorHAnsi" w:cstheme="minorBidi"/>
      <w:b/>
      <w:bCs/>
      <w:color w:val="auto"/>
      <w:lang w:val="en-US" w:eastAsia="en-US" w:bidi="en-US"/>
    </w:rPr>
  </w:style>
  <w:style w:type="character" w:customStyle="1" w:styleId="CommentSubjectChar">
    <w:name w:val="Comment Subject Char"/>
    <w:basedOn w:val="CommentTextChar"/>
    <w:link w:val="CommentSubject"/>
    <w:uiPriority w:val="99"/>
    <w:semiHidden/>
    <w:rsid w:val="002E637F"/>
    <w:rPr>
      <w:b/>
      <w:bCs/>
    </w:rPr>
  </w:style>
  <w:style w:type="paragraph" w:styleId="Revision">
    <w:name w:val="Revision"/>
    <w:hidden/>
    <w:uiPriority w:val="99"/>
    <w:semiHidden/>
    <w:rsid w:val="002E637F"/>
    <w:pPr>
      <w:ind w:firstLine="0"/>
    </w:pPr>
  </w:style>
  <w:style w:type="character" w:styleId="Hyperlink">
    <w:name w:val="Hyperlink"/>
    <w:basedOn w:val="DefaultParagraphFont"/>
    <w:uiPriority w:val="99"/>
    <w:unhideWhenUsed/>
    <w:rsid w:val="008117D4"/>
    <w:rPr>
      <w:color w:val="6B9F25" w:themeColor="hyperlink"/>
      <w:u w:val="single"/>
    </w:rPr>
  </w:style>
  <w:style w:type="table" w:styleId="TableGrid">
    <w:name w:val="Table Grid"/>
    <w:basedOn w:val="TableNormal"/>
    <w:uiPriority w:val="59"/>
    <w:rsid w:val="00940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5661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F433F7"/>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ports.envcomm.act.gov.au/actsoe201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title>
      <c:tx>
        <c:rich>
          <a:bodyPr/>
          <a:lstStyle/>
          <a:p>
            <a:pPr>
              <a:defRPr sz="801" b="1" i="0" u="none" strike="noStrike" baseline="0">
                <a:solidFill>
                  <a:srgbClr val="000000"/>
                </a:solidFill>
                <a:latin typeface="Times New Roman"/>
                <a:ea typeface="Times New Roman"/>
                <a:cs typeface="Times New Roman"/>
              </a:defRPr>
            </a:pPr>
            <a:r>
              <a:rPr lang="en-AU"/>
              <a:t>Monash</a:t>
            </a:r>
          </a:p>
        </c:rich>
      </c:tx>
      <c:layout>
        <c:manualLayout>
          <c:xMode val="edge"/>
          <c:yMode val="edge"/>
          <c:x val="0.460186032489182"/>
          <c:y val="2.033900790334181E-2"/>
        </c:manualLayout>
      </c:layout>
      <c:spPr>
        <a:noFill/>
        <a:ln w="12723">
          <a:noFill/>
        </a:ln>
      </c:spPr>
    </c:title>
    <c:plotArea>
      <c:layout>
        <c:manualLayout>
          <c:layoutTarget val="inner"/>
          <c:xMode val="edge"/>
          <c:yMode val="edge"/>
          <c:x val="5.9508654071097275E-2"/>
          <c:y val="9.4097905556678255E-2"/>
          <c:w val="0.91416752843846849"/>
          <c:h val="0.77288135593220142"/>
        </c:manualLayout>
      </c:layout>
      <c:barChart>
        <c:barDir val="col"/>
        <c:grouping val="clustered"/>
        <c:ser>
          <c:idx val="0"/>
          <c:order val="0"/>
          <c:tx>
            <c:strRef>
              <c:f>data!$L$1</c:f>
              <c:strCache>
                <c:ptCount val="1"/>
                <c:pt idx="0">
                  <c:v>PM 2.5</c:v>
                </c:pt>
              </c:strCache>
            </c:strRef>
          </c:tx>
          <c:spPr>
            <a:solidFill>
              <a:srgbClr val="9999FF"/>
            </a:solidFill>
            <a:ln w="12723">
              <a:noFill/>
            </a:ln>
          </c:spPr>
          <c:cat>
            <c:numRef>
              <c:f>data!$A$2:$A$366</c:f>
              <c:numCache>
                <c:formatCode>m/d/yyyy</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data!$L$2:$L$366</c:f>
              <c:numCache>
                <c:formatCode>#,##0.00</c:formatCode>
                <c:ptCount val="365"/>
                <c:pt idx="0">
                  <c:v>5.4326923076909424</c:v>
                </c:pt>
                <c:pt idx="1">
                  <c:v>2.5653594771257509</c:v>
                </c:pt>
                <c:pt idx="2">
                  <c:v>4.5155993431856416</c:v>
                </c:pt>
                <c:pt idx="3">
                  <c:v>4.8867313915851804</c:v>
                </c:pt>
                <c:pt idx="4">
                  <c:v>4.5993589743586174</c:v>
                </c:pt>
                <c:pt idx="5">
                  <c:v>3.1249999999998868</c:v>
                </c:pt>
                <c:pt idx="6">
                  <c:v>4.0688575899833186</c:v>
                </c:pt>
                <c:pt idx="7">
                  <c:v>2.4882629107979941</c:v>
                </c:pt>
                <c:pt idx="8">
                  <c:v>2.4802527646117762</c:v>
                </c:pt>
                <c:pt idx="9">
                  <c:v>5.2791068580567666</c:v>
                </c:pt>
                <c:pt idx="10">
                  <c:v>7.1014492753619018</c:v>
                </c:pt>
                <c:pt idx="11">
                  <c:v>8.4541062801924145</c:v>
                </c:pt>
                <c:pt idx="12">
                  <c:v>5.9098228663444479</c:v>
                </c:pt>
                <c:pt idx="13">
                  <c:v>7.1056910569107616</c:v>
                </c:pt>
                <c:pt idx="14">
                  <c:v>12.18954248366075</c:v>
                </c:pt>
                <c:pt idx="15">
                  <c:v>6.5686274509811104</c:v>
                </c:pt>
                <c:pt idx="16">
                  <c:v>4.3300653594773664</c:v>
                </c:pt>
                <c:pt idx="17">
                  <c:v>16.519607843136686</c:v>
                </c:pt>
                <c:pt idx="18">
                  <c:v>12.459546925567599</c:v>
                </c:pt>
                <c:pt idx="19">
                  <c:v>3.3814102564104602</c:v>
                </c:pt>
                <c:pt idx="20">
                  <c:v>7.9388083735895334</c:v>
                </c:pt>
                <c:pt idx="21">
                  <c:v>10.485436893204531</c:v>
                </c:pt>
                <c:pt idx="22">
                  <c:v>6.5873015873023633</c:v>
                </c:pt>
                <c:pt idx="23">
                  <c:v>5.4603174603160065</c:v>
                </c:pt>
                <c:pt idx="24">
                  <c:v>5.0394944707743594</c:v>
                </c:pt>
                <c:pt idx="25">
                  <c:v>5.1799687010939532</c:v>
                </c:pt>
                <c:pt idx="26">
                  <c:v>4.3809523809516504</c:v>
                </c:pt>
                <c:pt idx="29">
                  <c:v>7.4959349593516365</c:v>
                </c:pt>
                <c:pt idx="30">
                  <c:v>7.7287581699348564</c:v>
                </c:pt>
                <c:pt idx="31">
                  <c:v>12.254901960784299</c:v>
                </c:pt>
                <c:pt idx="32">
                  <c:v>10.903119868636432</c:v>
                </c:pt>
                <c:pt idx="33">
                  <c:v>6.9607843137238969</c:v>
                </c:pt>
                <c:pt idx="34">
                  <c:v>31.484992101105689</c:v>
                </c:pt>
                <c:pt idx="35">
                  <c:v>3.5046728971957308</c:v>
                </c:pt>
                <c:pt idx="36">
                  <c:v>3.9206349206337907</c:v>
                </c:pt>
                <c:pt idx="37">
                  <c:v>7.8582930756830134</c:v>
                </c:pt>
                <c:pt idx="38">
                  <c:v>11.821138211382182</c:v>
                </c:pt>
                <c:pt idx="39">
                  <c:v>8.6928104575151188</c:v>
                </c:pt>
                <c:pt idx="40">
                  <c:v>25.945512820512842</c:v>
                </c:pt>
                <c:pt idx="41">
                  <c:v>6.9711538461543414</c:v>
                </c:pt>
                <c:pt idx="42">
                  <c:v>9.2753623188409566</c:v>
                </c:pt>
                <c:pt idx="43">
                  <c:v>12.54428341384903</c:v>
                </c:pt>
                <c:pt idx="44">
                  <c:v>8.3171521035600318</c:v>
                </c:pt>
                <c:pt idx="45">
                  <c:v>6.2135922330104041</c:v>
                </c:pt>
                <c:pt idx="46">
                  <c:v>16.811594202899201</c:v>
                </c:pt>
                <c:pt idx="47">
                  <c:v>6.0287081339715334</c:v>
                </c:pt>
                <c:pt idx="48">
                  <c:v>6.5217391304343524</c:v>
                </c:pt>
                <c:pt idx="49">
                  <c:v>7.1175523349451275</c:v>
                </c:pt>
                <c:pt idx="50">
                  <c:v>2.338072669825686</c:v>
                </c:pt>
                <c:pt idx="51">
                  <c:v>8.7106918239002962</c:v>
                </c:pt>
                <c:pt idx="52">
                  <c:v>21.169036334914029</c:v>
                </c:pt>
                <c:pt idx="53">
                  <c:v>28.46761453396428</c:v>
                </c:pt>
                <c:pt idx="54">
                  <c:v>21.91626409017697</c:v>
                </c:pt>
                <c:pt idx="55">
                  <c:v>18.701923076922089</c:v>
                </c:pt>
                <c:pt idx="56">
                  <c:v>6.0897435897435948</c:v>
                </c:pt>
                <c:pt idx="57">
                  <c:v>3.2232704402513552</c:v>
                </c:pt>
                <c:pt idx="58">
                  <c:v>2.5665101721437749</c:v>
                </c:pt>
                <c:pt idx="59">
                  <c:v>2.8301886792440367</c:v>
                </c:pt>
                <c:pt idx="60">
                  <c:v>3.412322274881646</c:v>
                </c:pt>
                <c:pt idx="61">
                  <c:v>4.5497630331755534</c:v>
                </c:pt>
                <c:pt idx="62">
                  <c:v>2.6698262243283208</c:v>
                </c:pt>
                <c:pt idx="63">
                  <c:v>4.3492063492059065</c:v>
                </c:pt>
                <c:pt idx="64">
                  <c:v>5.9808612440191524</c:v>
                </c:pt>
                <c:pt idx="65">
                  <c:v>6.2838915470486221</c:v>
                </c:pt>
                <c:pt idx="66">
                  <c:v>4.628751974723639</c:v>
                </c:pt>
                <c:pt idx="67">
                  <c:v>2.638230647709376</c:v>
                </c:pt>
                <c:pt idx="68">
                  <c:v>4.0916271721956834</c:v>
                </c:pt>
                <c:pt idx="69">
                  <c:v>5.8095238095231334</c:v>
                </c:pt>
                <c:pt idx="70">
                  <c:v>4.3492063492059065</c:v>
                </c:pt>
                <c:pt idx="71">
                  <c:v>2.8593996840448304</c:v>
                </c:pt>
                <c:pt idx="72">
                  <c:v>6.9218500797461369</c:v>
                </c:pt>
                <c:pt idx="73">
                  <c:v>4.6251993620413376</c:v>
                </c:pt>
                <c:pt idx="74">
                  <c:v>2.6190476190479437</c:v>
                </c:pt>
                <c:pt idx="75">
                  <c:v>2.7987421383638367</c:v>
                </c:pt>
                <c:pt idx="76">
                  <c:v>2.8144654088059569</c:v>
                </c:pt>
                <c:pt idx="77">
                  <c:v>4.5125786163531876</c:v>
                </c:pt>
                <c:pt idx="78">
                  <c:v>6.9268292682938704</c:v>
                </c:pt>
                <c:pt idx="79">
                  <c:v>5.6556082148504343</c:v>
                </c:pt>
                <c:pt idx="80">
                  <c:v>4.3968253968278947</c:v>
                </c:pt>
                <c:pt idx="81">
                  <c:v>3.968253968253066</c:v>
                </c:pt>
                <c:pt idx="82">
                  <c:v>4.6728971962600889</c:v>
                </c:pt>
                <c:pt idx="83">
                  <c:v>0.92331768388235025</c:v>
                </c:pt>
                <c:pt idx="84">
                  <c:v>1.0015649452268058</c:v>
                </c:pt>
                <c:pt idx="85">
                  <c:v>2.2012578616359249</c:v>
                </c:pt>
                <c:pt idx="86">
                  <c:v>2.8751974723550271</c:v>
                </c:pt>
                <c:pt idx="87">
                  <c:v>4.3081761006284855</c:v>
                </c:pt>
                <c:pt idx="88">
                  <c:v>5.9190031152648217</c:v>
                </c:pt>
                <c:pt idx="89">
                  <c:v>5.2425665101727086</c:v>
                </c:pt>
                <c:pt idx="90">
                  <c:v>8.0031446540870572</c:v>
                </c:pt>
                <c:pt idx="91">
                  <c:v>9.4628751974739842</c:v>
                </c:pt>
                <c:pt idx="92">
                  <c:v>9.4182389937109683</c:v>
                </c:pt>
                <c:pt idx="93">
                  <c:v>0.49844236760186122</c:v>
                </c:pt>
                <c:pt idx="94">
                  <c:v>0.76323987538952143</c:v>
                </c:pt>
                <c:pt idx="95">
                  <c:v>1.2928348909661498</c:v>
                </c:pt>
                <c:pt idx="96">
                  <c:v>1.3643410852716631</c:v>
                </c:pt>
                <c:pt idx="97">
                  <c:v>3.1768388106429999</c:v>
                </c:pt>
                <c:pt idx="98">
                  <c:v>5.503144654087067</c:v>
                </c:pt>
                <c:pt idx="99">
                  <c:v>4.5283018867926303</c:v>
                </c:pt>
                <c:pt idx="100">
                  <c:v>1.52380952380868</c:v>
                </c:pt>
                <c:pt idx="101">
                  <c:v>1.6509433962249118</c:v>
                </c:pt>
                <c:pt idx="102">
                  <c:v>0.70422535211203663</c:v>
                </c:pt>
                <c:pt idx="103">
                  <c:v>1.5193798449614451</c:v>
                </c:pt>
                <c:pt idx="107">
                  <c:v>9.240310077519398</c:v>
                </c:pt>
                <c:pt idx="108">
                  <c:v>5.3703703703723304</c:v>
                </c:pt>
                <c:pt idx="109">
                  <c:v>10.184331797235098</c:v>
                </c:pt>
                <c:pt idx="111">
                  <c:v>11.69811320754806</c:v>
                </c:pt>
                <c:pt idx="112">
                  <c:v>11.573208722741798</c:v>
                </c:pt>
                <c:pt idx="113">
                  <c:v>9.1433021806833619</c:v>
                </c:pt>
                <c:pt idx="114">
                  <c:v>9.3953488372093741</c:v>
                </c:pt>
                <c:pt idx="115">
                  <c:v>10.250391236306752</c:v>
                </c:pt>
                <c:pt idx="116">
                  <c:v>12.734254992319148</c:v>
                </c:pt>
                <c:pt idx="126">
                  <c:v>2.4159021406721477</c:v>
                </c:pt>
                <c:pt idx="127">
                  <c:v>14.378787878789961</c:v>
                </c:pt>
                <c:pt idx="128">
                  <c:v>20.318181818183227</c:v>
                </c:pt>
                <c:pt idx="129">
                  <c:v>16.682027649770589</c:v>
                </c:pt>
                <c:pt idx="130">
                  <c:v>4.5987654320987916</c:v>
                </c:pt>
                <c:pt idx="131">
                  <c:v>10.469696969697134</c:v>
                </c:pt>
                <c:pt idx="132">
                  <c:v>17.515151515151601</c:v>
                </c:pt>
                <c:pt idx="133">
                  <c:v>17.348484848481789</c:v>
                </c:pt>
                <c:pt idx="134">
                  <c:v>16.45454545454653</c:v>
                </c:pt>
                <c:pt idx="135">
                  <c:v>24.409090909091187</c:v>
                </c:pt>
                <c:pt idx="136">
                  <c:v>21.704718417047431</c:v>
                </c:pt>
                <c:pt idx="137">
                  <c:v>20.365296803654129</c:v>
                </c:pt>
                <c:pt idx="138">
                  <c:v>13.333333333333266</c:v>
                </c:pt>
                <c:pt idx="139">
                  <c:v>11.536098310292369</c:v>
                </c:pt>
                <c:pt idx="140">
                  <c:v>12.522935779816352</c:v>
                </c:pt>
                <c:pt idx="141">
                  <c:v>13.364055299540126</c:v>
                </c:pt>
                <c:pt idx="142">
                  <c:v>6.3461538461540856</c:v>
                </c:pt>
                <c:pt idx="143">
                  <c:v>3.8497652582156641</c:v>
                </c:pt>
                <c:pt idx="144">
                  <c:v>14.35185185185197</c:v>
                </c:pt>
                <c:pt idx="146">
                  <c:v>6.5414710485116334</c:v>
                </c:pt>
                <c:pt idx="147">
                  <c:v>1.4418604651165539</c:v>
                </c:pt>
                <c:pt idx="148">
                  <c:v>10.867579908675784</c:v>
                </c:pt>
                <c:pt idx="149">
                  <c:v>12.496194824961504</c:v>
                </c:pt>
                <c:pt idx="150">
                  <c:v>5.9907834101380404</c:v>
                </c:pt>
                <c:pt idx="151">
                  <c:v>6.8981481481481897</c:v>
                </c:pt>
                <c:pt idx="152">
                  <c:v>2.1450617283965632</c:v>
                </c:pt>
                <c:pt idx="153">
                  <c:v>2.0276497695844582</c:v>
                </c:pt>
                <c:pt idx="154">
                  <c:v>8.7062404870620149</c:v>
                </c:pt>
                <c:pt idx="155">
                  <c:v>8.8685015290517448</c:v>
                </c:pt>
                <c:pt idx="156">
                  <c:v>1.7199391171993605</c:v>
                </c:pt>
                <c:pt idx="157">
                  <c:v>15.324283559579706</c:v>
                </c:pt>
                <c:pt idx="158">
                  <c:v>5.9577677224746965</c:v>
                </c:pt>
                <c:pt idx="159">
                  <c:v>1.2176560121754358</c:v>
                </c:pt>
                <c:pt idx="160">
                  <c:v>8.9696969696964324</c:v>
                </c:pt>
                <c:pt idx="161">
                  <c:v>15.339366515835772</c:v>
                </c:pt>
                <c:pt idx="162">
                  <c:v>21.019786910197439</c:v>
                </c:pt>
                <c:pt idx="163">
                  <c:v>18.700305810397726</c:v>
                </c:pt>
                <c:pt idx="164">
                  <c:v>4.8992248062015866</c:v>
                </c:pt>
                <c:pt idx="165">
                  <c:v>6.9124423963136534</c:v>
                </c:pt>
                <c:pt idx="169">
                  <c:v>16.126126126126309</c:v>
                </c:pt>
                <c:pt idx="170">
                  <c:v>13.837920489297048</c:v>
                </c:pt>
                <c:pt idx="171">
                  <c:v>21.560606060607189</c:v>
                </c:pt>
                <c:pt idx="172">
                  <c:v>20.333333333333655</c:v>
                </c:pt>
                <c:pt idx="180">
                  <c:v>2.3287671232871108</c:v>
                </c:pt>
                <c:pt idx="181">
                  <c:v>9.5795795795788248</c:v>
                </c:pt>
                <c:pt idx="182">
                  <c:v>9.4196428571435611</c:v>
                </c:pt>
                <c:pt idx="183">
                  <c:v>17.937219730941699</c:v>
                </c:pt>
                <c:pt idx="184">
                  <c:v>14.117647058824074</c:v>
                </c:pt>
                <c:pt idx="185">
                  <c:v>3.6238532110095281</c:v>
                </c:pt>
                <c:pt idx="186">
                  <c:v>3.179723502304947</c:v>
                </c:pt>
                <c:pt idx="187">
                  <c:v>6.4090909090905104</c:v>
                </c:pt>
                <c:pt idx="188">
                  <c:v>11.893939393940345</c:v>
                </c:pt>
                <c:pt idx="189">
                  <c:v>8.9602446483182767</c:v>
                </c:pt>
                <c:pt idx="201">
                  <c:v>19.880418535126516</c:v>
                </c:pt>
                <c:pt idx="202">
                  <c:v>15.92592592592565</c:v>
                </c:pt>
                <c:pt idx="203">
                  <c:v>14.057315233785674</c:v>
                </c:pt>
                <c:pt idx="206">
                  <c:v>12.533936651584424</c:v>
                </c:pt>
                <c:pt idx="207">
                  <c:v>12.760180995475602</c:v>
                </c:pt>
                <c:pt idx="208">
                  <c:v>6.4393939393946349</c:v>
                </c:pt>
                <c:pt idx="209">
                  <c:v>2.6012461059203562</c:v>
                </c:pt>
                <c:pt idx="210">
                  <c:v>2.2897196261685342</c:v>
                </c:pt>
                <c:pt idx="211">
                  <c:v>2.7804107424941038</c:v>
                </c:pt>
                <c:pt idx="212">
                  <c:v>1.5668202764973178</c:v>
                </c:pt>
                <c:pt idx="213">
                  <c:v>4.8878923766820055</c:v>
                </c:pt>
                <c:pt idx="214">
                  <c:v>29.321533923303789</c:v>
                </c:pt>
                <c:pt idx="215">
                  <c:v>17.585185185185289</c:v>
                </c:pt>
                <c:pt idx="216">
                  <c:v>19.585185185184788</c:v>
                </c:pt>
                <c:pt idx="217">
                  <c:v>16.5252976190468</c:v>
                </c:pt>
                <c:pt idx="218">
                  <c:v>13.542600896859406</c:v>
                </c:pt>
                <c:pt idx="220">
                  <c:v>20.55306427503653</c:v>
                </c:pt>
                <c:pt idx="221">
                  <c:v>4.6879756468795657</c:v>
                </c:pt>
                <c:pt idx="222">
                  <c:v>5.9790732436469014</c:v>
                </c:pt>
                <c:pt idx="223">
                  <c:v>3.9312406576972827</c:v>
                </c:pt>
                <c:pt idx="224">
                  <c:v>8.2959641255606407</c:v>
                </c:pt>
                <c:pt idx="225">
                  <c:v>12.589285714286307</c:v>
                </c:pt>
                <c:pt idx="226">
                  <c:v>13.198198198198448</c:v>
                </c:pt>
                <c:pt idx="227">
                  <c:v>8.569254185691495</c:v>
                </c:pt>
                <c:pt idx="228">
                  <c:v>1.450617283950087</c:v>
                </c:pt>
                <c:pt idx="230">
                  <c:v>1.651234567902101</c:v>
                </c:pt>
                <c:pt idx="231">
                  <c:v>3.2424242424234029</c:v>
                </c:pt>
                <c:pt idx="232">
                  <c:v>7.2222222222225714</c:v>
                </c:pt>
                <c:pt idx="233">
                  <c:v>6.0000000000002274</c:v>
                </c:pt>
                <c:pt idx="234">
                  <c:v>6.8929110105591942</c:v>
                </c:pt>
                <c:pt idx="235">
                  <c:v>5.7492354740040534</c:v>
                </c:pt>
                <c:pt idx="237">
                  <c:v>1.2996941896025678</c:v>
                </c:pt>
                <c:pt idx="238">
                  <c:v>3.8508371385077247</c:v>
                </c:pt>
                <c:pt idx="239">
                  <c:v>3.5757575757574251</c:v>
                </c:pt>
                <c:pt idx="240">
                  <c:v>2.4143302180690012</c:v>
                </c:pt>
                <c:pt idx="241">
                  <c:v>3.7308868501516002</c:v>
                </c:pt>
                <c:pt idx="242">
                  <c:v>10.053516819572021</c:v>
                </c:pt>
                <c:pt idx="243">
                  <c:v>8.3641975308630414</c:v>
                </c:pt>
                <c:pt idx="244">
                  <c:v>0.83333333333468163</c:v>
                </c:pt>
                <c:pt idx="245">
                  <c:v>1.4067278287472451</c:v>
                </c:pt>
                <c:pt idx="246">
                  <c:v>0.84097859327271063</c:v>
                </c:pt>
                <c:pt idx="247">
                  <c:v>1.2996941896025678</c:v>
                </c:pt>
                <c:pt idx="248">
                  <c:v>3.393939393938374</c:v>
                </c:pt>
                <c:pt idx="249">
                  <c:v>8.3333333333322148</c:v>
                </c:pt>
                <c:pt idx="250">
                  <c:v>6.6972477064240108</c:v>
                </c:pt>
                <c:pt idx="251">
                  <c:v>4.7352024922124203</c:v>
                </c:pt>
                <c:pt idx="252">
                  <c:v>3.568075117370582</c:v>
                </c:pt>
                <c:pt idx="253">
                  <c:v>4.1860465116280663</c:v>
                </c:pt>
                <c:pt idx="254">
                  <c:v>5.5198776758403909</c:v>
                </c:pt>
                <c:pt idx="255">
                  <c:v>8.5714285714262761</c:v>
                </c:pt>
                <c:pt idx="256">
                  <c:v>12.13517665130512</c:v>
                </c:pt>
                <c:pt idx="257">
                  <c:v>8.9043209876551419</c:v>
                </c:pt>
                <c:pt idx="258">
                  <c:v>6.2754303599388965</c:v>
                </c:pt>
                <c:pt idx="259">
                  <c:v>2.4496124031014537</c:v>
                </c:pt>
                <c:pt idx="260">
                  <c:v>3.6085626911326489</c:v>
                </c:pt>
                <c:pt idx="261">
                  <c:v>5.5968992248056084</c:v>
                </c:pt>
                <c:pt idx="262">
                  <c:v>3.8226299694206967</c:v>
                </c:pt>
                <c:pt idx="263">
                  <c:v>4.5565749235461253</c:v>
                </c:pt>
                <c:pt idx="264">
                  <c:v>5.2841781874039064</c:v>
                </c:pt>
                <c:pt idx="265">
                  <c:v>6.6203703703690655</c:v>
                </c:pt>
                <c:pt idx="266">
                  <c:v>7.8449612403100755</c:v>
                </c:pt>
                <c:pt idx="267">
                  <c:v>2.629107981219867</c:v>
                </c:pt>
                <c:pt idx="268">
                  <c:v>4.7839506172822306</c:v>
                </c:pt>
                <c:pt idx="269">
                  <c:v>7.4074074074072476</c:v>
                </c:pt>
                <c:pt idx="270">
                  <c:v>7.7570093457942484</c:v>
                </c:pt>
                <c:pt idx="271">
                  <c:v>6.2380952380938952</c:v>
                </c:pt>
                <c:pt idx="272">
                  <c:v>5.1658767772515368</c:v>
                </c:pt>
                <c:pt idx="273">
                  <c:v>2.4691358024695242</c:v>
                </c:pt>
                <c:pt idx="274">
                  <c:v>4.6850998463898357</c:v>
                </c:pt>
                <c:pt idx="275">
                  <c:v>4.8217054263580055</c:v>
                </c:pt>
                <c:pt idx="276">
                  <c:v>5.6132075471711387</c:v>
                </c:pt>
                <c:pt idx="277">
                  <c:v>5.4818325434453969</c:v>
                </c:pt>
                <c:pt idx="278">
                  <c:v>5.6937799043075703</c:v>
                </c:pt>
                <c:pt idx="279">
                  <c:v>2.132701421800355</c:v>
                </c:pt>
                <c:pt idx="280">
                  <c:v>4.0930232558149902</c:v>
                </c:pt>
                <c:pt idx="281">
                  <c:v>3.2868217054271014</c:v>
                </c:pt>
                <c:pt idx="282">
                  <c:v>4.2679127725838955</c:v>
                </c:pt>
                <c:pt idx="283">
                  <c:v>4.4182389937112534</c:v>
                </c:pt>
                <c:pt idx="284">
                  <c:v>6.1611374407580746</c:v>
                </c:pt>
                <c:pt idx="285">
                  <c:v>2.6224328594005311</c:v>
                </c:pt>
                <c:pt idx="286">
                  <c:v>0.56835637480720025</c:v>
                </c:pt>
                <c:pt idx="287">
                  <c:v>0.8024691358014755</c:v>
                </c:pt>
                <c:pt idx="288">
                  <c:v>3.7019969278031581</c:v>
                </c:pt>
                <c:pt idx="289">
                  <c:v>2.8110599078344167</c:v>
                </c:pt>
                <c:pt idx="290">
                  <c:v>4.7993827160494886</c:v>
                </c:pt>
                <c:pt idx="291">
                  <c:v>5.3582554517133074</c:v>
                </c:pt>
                <c:pt idx="292">
                  <c:v>3.0261136712758772</c:v>
                </c:pt>
                <c:pt idx="293">
                  <c:v>2.4454828660424552</c:v>
                </c:pt>
                <c:pt idx="294">
                  <c:v>6.4006259780897485</c:v>
                </c:pt>
                <c:pt idx="295">
                  <c:v>6.8396226415085914</c:v>
                </c:pt>
                <c:pt idx="296">
                  <c:v>7.6714513556608903</c:v>
                </c:pt>
                <c:pt idx="297">
                  <c:v>8.6124401913878863</c:v>
                </c:pt>
                <c:pt idx="298">
                  <c:v>6.183574879226267</c:v>
                </c:pt>
                <c:pt idx="299">
                  <c:v>4.4338118022331834</c:v>
                </c:pt>
                <c:pt idx="300">
                  <c:v>3.270440251573643</c:v>
                </c:pt>
                <c:pt idx="301">
                  <c:v>3.0647709320702248</c:v>
                </c:pt>
                <c:pt idx="302">
                  <c:v>4.0758293838869024</c:v>
                </c:pt>
                <c:pt idx="303">
                  <c:v>5.3044871794856245</c:v>
                </c:pt>
                <c:pt idx="304">
                  <c:v>4.3750000000003926</c:v>
                </c:pt>
                <c:pt idx="305">
                  <c:v>1.6744186046512484</c:v>
                </c:pt>
                <c:pt idx="306">
                  <c:v>4.645061728393995</c:v>
                </c:pt>
                <c:pt idx="307">
                  <c:v>7.1540880503146616</c:v>
                </c:pt>
                <c:pt idx="308">
                  <c:v>8.4126984126975284</c:v>
                </c:pt>
                <c:pt idx="309">
                  <c:v>7.4407582938394023</c:v>
                </c:pt>
                <c:pt idx="310">
                  <c:v>5.6398104265389257</c:v>
                </c:pt>
                <c:pt idx="311">
                  <c:v>7.3650793650802457</c:v>
                </c:pt>
                <c:pt idx="312">
                  <c:v>7.0317460317453424</c:v>
                </c:pt>
                <c:pt idx="313">
                  <c:v>3.4444444444437377</c:v>
                </c:pt>
                <c:pt idx="314">
                  <c:v>5.7861635220116714</c:v>
                </c:pt>
                <c:pt idx="315">
                  <c:v>5.27646129541876</c:v>
                </c:pt>
                <c:pt idx="316">
                  <c:v>5.7575757575764106</c:v>
                </c:pt>
                <c:pt idx="317">
                  <c:v>8.1138211382116889</c:v>
                </c:pt>
                <c:pt idx="318">
                  <c:v>8.2051282051286698</c:v>
                </c:pt>
                <c:pt idx="319">
                  <c:v>2.0952380952399787</c:v>
                </c:pt>
                <c:pt idx="320">
                  <c:v>2.9559748427675858</c:v>
                </c:pt>
                <c:pt idx="321">
                  <c:v>3.1289308176094006</c:v>
                </c:pt>
                <c:pt idx="322">
                  <c:v>4.5396825396843834</c:v>
                </c:pt>
                <c:pt idx="323">
                  <c:v>6.3577235772360234</c:v>
                </c:pt>
                <c:pt idx="324">
                  <c:v>5.1456310679608945</c:v>
                </c:pt>
                <c:pt idx="325">
                  <c:v>5.6199677938807024</c:v>
                </c:pt>
                <c:pt idx="326">
                  <c:v>6.32352941176425</c:v>
                </c:pt>
                <c:pt idx="327">
                  <c:v>4.814814814815275</c:v>
                </c:pt>
                <c:pt idx="328">
                  <c:v>2.4401913875592212</c:v>
                </c:pt>
                <c:pt idx="329">
                  <c:v>5.4818325434440514</c:v>
                </c:pt>
                <c:pt idx="330">
                  <c:v>3.8364779874213797</c:v>
                </c:pt>
                <c:pt idx="331">
                  <c:v>4.9289099526072686</c:v>
                </c:pt>
                <c:pt idx="332">
                  <c:v>5.8373205741633543</c:v>
                </c:pt>
                <c:pt idx="333">
                  <c:v>6.6347687400318494</c:v>
                </c:pt>
                <c:pt idx="334">
                  <c:v>4.2880258899664865</c:v>
                </c:pt>
                <c:pt idx="335">
                  <c:v>4.6341463414633557</c:v>
                </c:pt>
                <c:pt idx="336">
                  <c:v>5.7256778309406773</c:v>
                </c:pt>
                <c:pt idx="337">
                  <c:v>3.3173076923085008</c:v>
                </c:pt>
                <c:pt idx="338">
                  <c:v>4.1867954911436973</c:v>
                </c:pt>
                <c:pt idx="339">
                  <c:v>3.0940988835719287</c:v>
                </c:pt>
                <c:pt idx="341">
                  <c:v>4.0096618357501566</c:v>
                </c:pt>
                <c:pt idx="342">
                  <c:v>2.9487179487188202</c:v>
                </c:pt>
                <c:pt idx="343">
                  <c:v>3.3974358974352667</c:v>
                </c:pt>
                <c:pt idx="344">
                  <c:v>1.9523809523808113</c:v>
                </c:pt>
                <c:pt idx="345">
                  <c:v>1.408450704224071</c:v>
                </c:pt>
                <c:pt idx="346">
                  <c:v>2.3742138364763639</c:v>
                </c:pt>
                <c:pt idx="347">
                  <c:v>3.6507936507957441</c:v>
                </c:pt>
                <c:pt idx="348">
                  <c:v>4.9597423510465823</c:v>
                </c:pt>
                <c:pt idx="349">
                  <c:v>7.5697865353044476</c:v>
                </c:pt>
                <c:pt idx="350">
                  <c:v>12.4637681159425</c:v>
                </c:pt>
                <c:pt idx="352">
                  <c:v>4.5555555555551646</c:v>
                </c:pt>
                <c:pt idx="353">
                  <c:v>6.0793650793638934</c:v>
                </c:pt>
                <c:pt idx="354">
                  <c:v>7.6282051282055656</c:v>
                </c:pt>
                <c:pt idx="355">
                  <c:v>7.2195121951232162</c:v>
                </c:pt>
                <c:pt idx="357">
                  <c:v>3.6363636363633187</c:v>
                </c:pt>
                <c:pt idx="358">
                  <c:v>5.2495974235117524</c:v>
                </c:pt>
                <c:pt idx="359">
                  <c:v>3.4290271132372387</c:v>
                </c:pt>
                <c:pt idx="360">
                  <c:v>5.1257861635232445</c:v>
                </c:pt>
                <c:pt idx="361">
                  <c:v>4.2857142857158008</c:v>
                </c:pt>
                <c:pt idx="362">
                  <c:v>4.9919484702102919</c:v>
                </c:pt>
                <c:pt idx="363">
                  <c:v>4.743589743588708</c:v>
                </c:pt>
                <c:pt idx="364">
                  <c:v>5.805422647526167</c:v>
                </c:pt>
              </c:numCache>
            </c:numRef>
          </c:val>
        </c:ser>
        <c:axId val="237302528"/>
        <c:axId val="237304064"/>
      </c:barChart>
      <c:lineChart>
        <c:grouping val="standard"/>
        <c:ser>
          <c:idx val="1"/>
          <c:order val="1"/>
          <c:tx>
            <c:strRef>
              <c:f>data!$M$1</c:f>
              <c:strCache>
                <c:ptCount val="1"/>
                <c:pt idx="0">
                  <c:v>NEPMstd</c:v>
                </c:pt>
              </c:strCache>
            </c:strRef>
          </c:tx>
          <c:spPr>
            <a:ln w="6362">
              <a:solidFill>
                <a:srgbClr val="FF0000"/>
              </a:solidFill>
              <a:prstDash val="solid"/>
            </a:ln>
          </c:spPr>
          <c:marker>
            <c:symbol val="none"/>
          </c:marker>
          <c:cat>
            <c:numRef>
              <c:f>data!$A$2:$A$366</c:f>
              <c:numCache>
                <c:formatCode>m/d/yyyy</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data!$M$2:$M$366</c:f>
              <c:numCache>
                <c:formatCode>General</c:formatCode>
                <c:ptCount val="365"/>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pt idx="115">
                  <c:v>25</c:v>
                </c:pt>
                <c:pt idx="116">
                  <c:v>25</c:v>
                </c:pt>
                <c:pt idx="117">
                  <c:v>25</c:v>
                </c:pt>
                <c:pt idx="118">
                  <c:v>25</c:v>
                </c:pt>
                <c:pt idx="119">
                  <c:v>25</c:v>
                </c:pt>
                <c:pt idx="120">
                  <c:v>25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25</c:v>
                </c:pt>
                <c:pt idx="144">
                  <c:v>25</c:v>
                </c:pt>
                <c:pt idx="145">
                  <c:v>25</c:v>
                </c:pt>
                <c:pt idx="146">
                  <c:v>25</c:v>
                </c:pt>
                <c:pt idx="147">
                  <c:v>25</c:v>
                </c:pt>
                <c:pt idx="148">
                  <c:v>25</c:v>
                </c:pt>
                <c:pt idx="149">
                  <c:v>25</c:v>
                </c:pt>
                <c:pt idx="150">
                  <c:v>25</c:v>
                </c:pt>
                <c:pt idx="151">
                  <c:v>25</c:v>
                </c:pt>
                <c:pt idx="152">
                  <c:v>25</c:v>
                </c:pt>
                <c:pt idx="153">
                  <c:v>25</c:v>
                </c:pt>
                <c:pt idx="154">
                  <c:v>25</c:v>
                </c:pt>
                <c:pt idx="155">
                  <c:v>25</c:v>
                </c:pt>
                <c:pt idx="156">
                  <c:v>25</c:v>
                </c:pt>
                <c:pt idx="157">
                  <c:v>25</c:v>
                </c:pt>
                <c:pt idx="158">
                  <c:v>25</c:v>
                </c:pt>
                <c:pt idx="159">
                  <c:v>25</c:v>
                </c:pt>
                <c:pt idx="160">
                  <c:v>25</c:v>
                </c:pt>
                <c:pt idx="161">
                  <c:v>25</c:v>
                </c:pt>
                <c:pt idx="162">
                  <c:v>25</c:v>
                </c:pt>
                <c:pt idx="163">
                  <c:v>25</c:v>
                </c:pt>
                <c:pt idx="164">
                  <c:v>25</c:v>
                </c:pt>
                <c:pt idx="165">
                  <c:v>25</c:v>
                </c:pt>
                <c:pt idx="166">
                  <c:v>25</c:v>
                </c:pt>
                <c:pt idx="167">
                  <c:v>25</c:v>
                </c:pt>
                <c:pt idx="168">
                  <c:v>25</c:v>
                </c:pt>
                <c:pt idx="169">
                  <c:v>25</c:v>
                </c:pt>
                <c:pt idx="170">
                  <c:v>25</c:v>
                </c:pt>
                <c:pt idx="171">
                  <c:v>25</c:v>
                </c:pt>
                <c:pt idx="172">
                  <c:v>25</c:v>
                </c:pt>
                <c:pt idx="173">
                  <c:v>25</c:v>
                </c:pt>
                <c:pt idx="174">
                  <c:v>25</c:v>
                </c:pt>
                <c:pt idx="175">
                  <c:v>25</c:v>
                </c:pt>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194">
                  <c:v>25</c:v>
                </c:pt>
                <c:pt idx="195">
                  <c:v>25</c:v>
                </c:pt>
                <c:pt idx="196">
                  <c:v>25</c:v>
                </c:pt>
                <c:pt idx="197">
                  <c:v>25</c:v>
                </c:pt>
                <c:pt idx="198">
                  <c:v>25</c:v>
                </c:pt>
                <c:pt idx="199">
                  <c:v>25</c:v>
                </c:pt>
                <c:pt idx="200">
                  <c:v>25</c:v>
                </c:pt>
                <c:pt idx="201">
                  <c:v>25</c:v>
                </c:pt>
                <c:pt idx="202">
                  <c:v>25</c:v>
                </c:pt>
                <c:pt idx="203">
                  <c:v>25</c:v>
                </c:pt>
                <c:pt idx="204">
                  <c:v>25</c:v>
                </c:pt>
                <c:pt idx="205">
                  <c:v>25</c:v>
                </c:pt>
                <c:pt idx="206">
                  <c:v>25</c:v>
                </c:pt>
                <c:pt idx="207">
                  <c:v>25</c:v>
                </c:pt>
                <c:pt idx="208">
                  <c:v>25</c:v>
                </c:pt>
                <c:pt idx="209">
                  <c:v>25</c:v>
                </c:pt>
                <c:pt idx="210">
                  <c:v>25</c:v>
                </c:pt>
                <c:pt idx="211">
                  <c:v>25</c:v>
                </c:pt>
                <c:pt idx="212">
                  <c:v>25</c:v>
                </c:pt>
                <c:pt idx="213">
                  <c:v>25</c:v>
                </c:pt>
                <c:pt idx="214">
                  <c:v>25</c:v>
                </c:pt>
                <c:pt idx="215">
                  <c:v>25</c:v>
                </c:pt>
                <c:pt idx="216">
                  <c:v>25</c:v>
                </c:pt>
                <c:pt idx="217">
                  <c:v>25</c:v>
                </c:pt>
                <c:pt idx="218">
                  <c:v>25</c:v>
                </c:pt>
                <c:pt idx="219">
                  <c:v>25</c:v>
                </c:pt>
                <c:pt idx="220">
                  <c:v>25</c:v>
                </c:pt>
                <c:pt idx="221">
                  <c:v>25</c:v>
                </c:pt>
                <c:pt idx="222">
                  <c:v>25</c:v>
                </c:pt>
                <c:pt idx="223">
                  <c:v>25</c:v>
                </c:pt>
                <c:pt idx="224">
                  <c:v>25</c:v>
                </c:pt>
                <c:pt idx="225">
                  <c:v>25</c:v>
                </c:pt>
                <c:pt idx="226">
                  <c:v>25</c:v>
                </c:pt>
                <c:pt idx="227">
                  <c:v>25</c:v>
                </c:pt>
                <c:pt idx="228">
                  <c:v>25</c:v>
                </c:pt>
                <c:pt idx="229">
                  <c:v>25</c:v>
                </c:pt>
                <c:pt idx="230">
                  <c:v>25</c:v>
                </c:pt>
                <c:pt idx="231">
                  <c:v>25</c:v>
                </c:pt>
                <c:pt idx="232">
                  <c:v>25</c:v>
                </c:pt>
                <c:pt idx="233">
                  <c:v>25</c:v>
                </c:pt>
                <c:pt idx="234">
                  <c:v>25</c:v>
                </c:pt>
                <c:pt idx="235">
                  <c:v>25</c:v>
                </c:pt>
                <c:pt idx="236">
                  <c:v>25</c:v>
                </c:pt>
                <c:pt idx="237">
                  <c:v>25</c:v>
                </c:pt>
                <c:pt idx="238">
                  <c:v>25</c:v>
                </c:pt>
                <c:pt idx="239">
                  <c:v>25</c:v>
                </c:pt>
                <c:pt idx="240">
                  <c:v>25</c:v>
                </c:pt>
                <c:pt idx="241">
                  <c:v>25</c:v>
                </c:pt>
                <c:pt idx="242">
                  <c:v>25</c:v>
                </c:pt>
                <c:pt idx="243">
                  <c:v>25</c:v>
                </c:pt>
                <c:pt idx="244">
                  <c:v>25</c:v>
                </c:pt>
                <c:pt idx="245">
                  <c:v>25</c:v>
                </c:pt>
                <c:pt idx="246">
                  <c:v>25</c:v>
                </c:pt>
                <c:pt idx="247">
                  <c:v>25</c:v>
                </c:pt>
                <c:pt idx="248">
                  <c:v>25</c:v>
                </c:pt>
                <c:pt idx="249">
                  <c:v>25</c:v>
                </c:pt>
                <c:pt idx="250">
                  <c:v>25</c:v>
                </c:pt>
                <c:pt idx="251">
                  <c:v>25</c:v>
                </c:pt>
                <c:pt idx="252">
                  <c:v>25</c:v>
                </c:pt>
                <c:pt idx="253">
                  <c:v>25</c:v>
                </c:pt>
                <c:pt idx="254">
                  <c:v>25</c:v>
                </c:pt>
                <c:pt idx="255">
                  <c:v>25</c:v>
                </c:pt>
                <c:pt idx="256">
                  <c:v>25</c:v>
                </c:pt>
                <c:pt idx="257">
                  <c:v>25</c:v>
                </c:pt>
                <c:pt idx="258">
                  <c:v>25</c:v>
                </c:pt>
                <c:pt idx="259">
                  <c:v>25</c:v>
                </c:pt>
                <c:pt idx="260">
                  <c:v>25</c:v>
                </c:pt>
                <c:pt idx="261">
                  <c:v>25</c:v>
                </c:pt>
                <c:pt idx="262">
                  <c:v>25</c:v>
                </c:pt>
                <c:pt idx="263">
                  <c:v>25</c:v>
                </c:pt>
                <c:pt idx="264">
                  <c:v>25</c:v>
                </c:pt>
                <c:pt idx="265">
                  <c:v>25</c:v>
                </c:pt>
                <c:pt idx="266">
                  <c:v>25</c:v>
                </c:pt>
                <c:pt idx="267">
                  <c:v>25</c:v>
                </c:pt>
                <c:pt idx="268">
                  <c:v>25</c:v>
                </c:pt>
                <c:pt idx="269">
                  <c:v>25</c:v>
                </c:pt>
                <c:pt idx="270">
                  <c:v>25</c:v>
                </c:pt>
                <c:pt idx="271">
                  <c:v>25</c:v>
                </c:pt>
                <c:pt idx="272">
                  <c:v>25</c:v>
                </c:pt>
                <c:pt idx="273">
                  <c:v>25</c:v>
                </c:pt>
                <c:pt idx="274">
                  <c:v>25</c:v>
                </c:pt>
                <c:pt idx="275">
                  <c:v>25</c:v>
                </c:pt>
                <c:pt idx="276">
                  <c:v>25</c:v>
                </c:pt>
                <c:pt idx="277">
                  <c:v>25</c:v>
                </c:pt>
                <c:pt idx="278">
                  <c:v>25</c:v>
                </c:pt>
                <c:pt idx="279">
                  <c:v>25</c:v>
                </c:pt>
                <c:pt idx="280">
                  <c:v>25</c:v>
                </c:pt>
                <c:pt idx="281">
                  <c:v>25</c:v>
                </c:pt>
                <c:pt idx="282">
                  <c:v>25</c:v>
                </c:pt>
                <c:pt idx="283">
                  <c:v>25</c:v>
                </c:pt>
                <c:pt idx="284">
                  <c:v>25</c:v>
                </c:pt>
                <c:pt idx="285">
                  <c:v>25</c:v>
                </c:pt>
                <c:pt idx="286">
                  <c:v>25</c:v>
                </c:pt>
                <c:pt idx="287">
                  <c:v>25</c:v>
                </c:pt>
                <c:pt idx="288">
                  <c:v>25</c:v>
                </c:pt>
                <c:pt idx="289">
                  <c:v>25</c:v>
                </c:pt>
                <c:pt idx="290">
                  <c:v>25</c:v>
                </c:pt>
                <c:pt idx="291">
                  <c:v>25</c:v>
                </c:pt>
                <c:pt idx="292">
                  <c:v>25</c:v>
                </c:pt>
                <c:pt idx="293">
                  <c:v>25</c:v>
                </c:pt>
                <c:pt idx="294">
                  <c:v>25</c:v>
                </c:pt>
                <c:pt idx="295">
                  <c:v>25</c:v>
                </c:pt>
                <c:pt idx="296">
                  <c:v>25</c:v>
                </c:pt>
                <c:pt idx="297">
                  <c:v>25</c:v>
                </c:pt>
                <c:pt idx="298">
                  <c:v>25</c:v>
                </c:pt>
                <c:pt idx="299">
                  <c:v>25</c:v>
                </c:pt>
                <c:pt idx="300">
                  <c:v>25</c:v>
                </c:pt>
                <c:pt idx="301">
                  <c:v>25</c:v>
                </c:pt>
                <c:pt idx="302">
                  <c:v>25</c:v>
                </c:pt>
                <c:pt idx="303">
                  <c:v>25</c:v>
                </c:pt>
                <c:pt idx="304">
                  <c:v>25</c:v>
                </c:pt>
                <c:pt idx="305">
                  <c:v>25</c:v>
                </c:pt>
                <c:pt idx="306">
                  <c:v>25</c:v>
                </c:pt>
                <c:pt idx="307">
                  <c:v>25</c:v>
                </c:pt>
                <c:pt idx="308">
                  <c:v>25</c:v>
                </c:pt>
                <c:pt idx="309">
                  <c:v>25</c:v>
                </c:pt>
                <c:pt idx="310">
                  <c:v>25</c:v>
                </c:pt>
                <c:pt idx="311">
                  <c:v>25</c:v>
                </c:pt>
                <c:pt idx="312">
                  <c:v>25</c:v>
                </c:pt>
                <c:pt idx="313">
                  <c:v>25</c:v>
                </c:pt>
                <c:pt idx="314">
                  <c:v>25</c:v>
                </c:pt>
                <c:pt idx="315">
                  <c:v>25</c:v>
                </c:pt>
                <c:pt idx="316">
                  <c:v>25</c:v>
                </c:pt>
                <c:pt idx="317">
                  <c:v>25</c:v>
                </c:pt>
                <c:pt idx="318">
                  <c:v>25</c:v>
                </c:pt>
                <c:pt idx="319">
                  <c:v>25</c:v>
                </c:pt>
                <c:pt idx="320">
                  <c:v>25</c:v>
                </c:pt>
                <c:pt idx="321">
                  <c:v>25</c:v>
                </c:pt>
                <c:pt idx="322">
                  <c:v>25</c:v>
                </c:pt>
                <c:pt idx="323">
                  <c:v>25</c:v>
                </c:pt>
                <c:pt idx="324">
                  <c:v>25</c:v>
                </c:pt>
                <c:pt idx="325">
                  <c:v>25</c:v>
                </c:pt>
                <c:pt idx="326">
                  <c:v>25</c:v>
                </c:pt>
                <c:pt idx="327">
                  <c:v>25</c:v>
                </c:pt>
                <c:pt idx="328">
                  <c:v>25</c:v>
                </c:pt>
                <c:pt idx="329">
                  <c:v>25</c:v>
                </c:pt>
                <c:pt idx="330">
                  <c:v>25</c:v>
                </c:pt>
                <c:pt idx="331">
                  <c:v>25</c:v>
                </c:pt>
                <c:pt idx="332">
                  <c:v>25</c:v>
                </c:pt>
                <c:pt idx="333">
                  <c:v>25</c:v>
                </c:pt>
                <c:pt idx="334">
                  <c:v>25</c:v>
                </c:pt>
                <c:pt idx="335">
                  <c:v>25</c:v>
                </c:pt>
                <c:pt idx="336">
                  <c:v>25</c:v>
                </c:pt>
                <c:pt idx="337">
                  <c:v>25</c:v>
                </c:pt>
                <c:pt idx="338">
                  <c:v>25</c:v>
                </c:pt>
                <c:pt idx="339">
                  <c:v>25</c:v>
                </c:pt>
                <c:pt idx="340">
                  <c:v>25</c:v>
                </c:pt>
                <c:pt idx="341">
                  <c:v>25</c:v>
                </c:pt>
                <c:pt idx="342">
                  <c:v>25</c:v>
                </c:pt>
                <c:pt idx="343">
                  <c:v>25</c:v>
                </c:pt>
                <c:pt idx="344">
                  <c:v>25</c:v>
                </c:pt>
                <c:pt idx="345">
                  <c:v>25</c:v>
                </c:pt>
                <c:pt idx="346">
                  <c:v>25</c:v>
                </c:pt>
                <c:pt idx="347">
                  <c:v>25</c:v>
                </c:pt>
                <c:pt idx="348">
                  <c:v>25</c:v>
                </c:pt>
                <c:pt idx="349">
                  <c:v>25</c:v>
                </c:pt>
                <c:pt idx="350">
                  <c:v>25</c:v>
                </c:pt>
                <c:pt idx="351">
                  <c:v>25</c:v>
                </c:pt>
                <c:pt idx="352">
                  <c:v>25</c:v>
                </c:pt>
                <c:pt idx="353">
                  <c:v>25</c:v>
                </c:pt>
                <c:pt idx="354">
                  <c:v>25</c:v>
                </c:pt>
                <c:pt idx="355">
                  <c:v>25</c:v>
                </c:pt>
                <c:pt idx="356">
                  <c:v>25</c:v>
                </c:pt>
                <c:pt idx="357">
                  <c:v>25</c:v>
                </c:pt>
                <c:pt idx="358">
                  <c:v>25</c:v>
                </c:pt>
                <c:pt idx="359">
                  <c:v>25</c:v>
                </c:pt>
                <c:pt idx="360">
                  <c:v>25</c:v>
                </c:pt>
                <c:pt idx="361">
                  <c:v>25</c:v>
                </c:pt>
                <c:pt idx="362">
                  <c:v>25</c:v>
                </c:pt>
                <c:pt idx="363">
                  <c:v>25</c:v>
                </c:pt>
                <c:pt idx="364">
                  <c:v>25</c:v>
                </c:pt>
              </c:numCache>
            </c:numRef>
          </c:val>
        </c:ser>
        <c:marker val="1"/>
        <c:axId val="237302528"/>
        <c:axId val="237304064"/>
      </c:lineChart>
      <c:dateAx>
        <c:axId val="237302528"/>
        <c:scaling>
          <c:orientation val="minMax"/>
          <c:max val="42005"/>
        </c:scaling>
        <c:axPos val="b"/>
        <c:numFmt formatCode="dd/mm/yyyy" sourceLinked="0"/>
        <c:tickLblPos val="nextTo"/>
        <c:spPr>
          <a:ln w="1591">
            <a:solidFill>
              <a:srgbClr val="000000"/>
            </a:solidFill>
            <a:prstDash val="solid"/>
          </a:ln>
        </c:spPr>
        <c:txPr>
          <a:bodyPr rot="-2700000" vert="horz"/>
          <a:lstStyle/>
          <a:p>
            <a:pPr>
              <a:defRPr sz="540" b="0" i="0" u="none" strike="noStrike" baseline="0">
                <a:solidFill>
                  <a:srgbClr val="000000"/>
                </a:solidFill>
                <a:latin typeface="Times New Roman"/>
                <a:ea typeface="Times New Roman"/>
                <a:cs typeface="Times New Roman"/>
              </a:defRPr>
            </a:pPr>
            <a:endParaRPr lang="en-US"/>
          </a:p>
        </c:txPr>
        <c:crossAx val="237304064"/>
        <c:crosses val="autoZero"/>
        <c:auto val="1"/>
        <c:lblOffset val="100"/>
        <c:baseTimeUnit val="days"/>
        <c:majorUnit val="1"/>
        <c:majorTimeUnit val="months"/>
        <c:minorUnit val="1"/>
        <c:minorTimeUnit val="months"/>
      </c:dateAx>
      <c:valAx>
        <c:axId val="237304064"/>
        <c:scaling>
          <c:orientation val="minMax"/>
          <c:min val="0"/>
        </c:scaling>
        <c:axPos val="l"/>
        <c:majorGridlines>
          <c:spPr>
            <a:ln w="1591">
              <a:solidFill>
                <a:srgbClr val="000000"/>
              </a:solidFill>
              <a:prstDash val="sysDash"/>
            </a:ln>
          </c:spPr>
        </c:majorGridlines>
        <c:title>
          <c:tx>
            <c:rich>
              <a:bodyPr/>
              <a:lstStyle/>
              <a:p>
                <a:pPr>
                  <a:defRPr sz="600" b="1" i="0" u="none" strike="noStrike" baseline="0">
                    <a:solidFill>
                      <a:srgbClr val="000000"/>
                    </a:solidFill>
                    <a:latin typeface="Times New Roman"/>
                    <a:ea typeface="Times New Roman"/>
                    <a:cs typeface="Times New Roman"/>
                  </a:defRPr>
                </a:pPr>
                <a:r>
                  <a:rPr lang="en-AU"/>
                  <a:t>micrograms per cubic metre</a:t>
                </a:r>
              </a:p>
            </c:rich>
          </c:tx>
          <c:layout>
            <c:manualLayout>
              <c:xMode val="edge"/>
              <c:yMode val="edge"/>
              <c:x val="0"/>
              <c:y val="0.31694922212935978"/>
            </c:manualLayout>
          </c:layout>
          <c:spPr>
            <a:noFill/>
            <a:ln w="12723">
              <a:noFill/>
            </a:ln>
          </c:spPr>
        </c:title>
        <c:numFmt formatCode="0.0" sourceLinked="0"/>
        <c:tickLblPos val="nextTo"/>
        <c:spPr>
          <a:ln w="1591">
            <a:solidFill>
              <a:srgbClr val="000000"/>
            </a:solidFill>
            <a:prstDash val="solid"/>
          </a:ln>
        </c:spPr>
        <c:txPr>
          <a:bodyPr rot="0" vert="horz"/>
          <a:lstStyle/>
          <a:p>
            <a:pPr>
              <a:defRPr sz="540" b="0" i="0" u="none" strike="noStrike" baseline="0">
                <a:solidFill>
                  <a:srgbClr val="000000"/>
                </a:solidFill>
                <a:latin typeface="Times New Roman"/>
                <a:ea typeface="Times New Roman"/>
                <a:cs typeface="Times New Roman"/>
              </a:defRPr>
            </a:pPr>
            <a:endParaRPr lang="en-US"/>
          </a:p>
        </c:txPr>
        <c:crossAx val="237302528"/>
        <c:crosses val="autoZero"/>
        <c:crossBetween val="between"/>
      </c:valAx>
      <c:spPr>
        <a:noFill/>
        <a:ln w="25400">
          <a:noFill/>
        </a:ln>
      </c:spPr>
    </c:plotArea>
    <c:plotVisOnly val="1"/>
    <c:dispBlanksAs val="gap"/>
  </c:chart>
  <c:spPr>
    <a:noFill/>
    <a:ln>
      <a:noFill/>
    </a:ln>
  </c:spPr>
  <c:txPr>
    <a:bodyPr/>
    <a:lstStyle/>
    <a:p>
      <a:pPr>
        <a:defRPr sz="500" b="0" i="0" u="none" strike="noStrike" baseline="0">
          <a:solidFill>
            <a:srgbClr val="000000"/>
          </a:solidFill>
          <a:latin typeface="Times New Roman"/>
          <a:ea typeface="Times New Roman"/>
          <a:cs typeface="Times New Roman"/>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0.50452</cdr:x>
      <cdr:y>0.24638</cdr:y>
    </cdr:from>
    <cdr:to>
      <cdr:x>1</cdr:x>
      <cdr:y>0.30369</cdr:y>
    </cdr:to>
    <cdr:sp macro="" textlink="">
      <cdr:nvSpPr>
        <cdr:cNvPr id="4097" name="Text Box 1"/>
        <cdr:cNvSpPr txBox="1">
          <a:spLocks xmlns:a="http://schemas.openxmlformats.org/drawingml/2006/main" noChangeArrowheads="1"/>
        </cdr:cNvSpPr>
      </cdr:nvSpPr>
      <cdr:spPr bwMode="auto">
        <a:xfrm xmlns:a="http://schemas.openxmlformats.org/drawingml/2006/main">
          <a:off x="3692104" y="733245"/>
          <a:ext cx="2838091" cy="170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22860" rIns="0" bIns="0" anchor="t" upright="1">
          <a:spAutoFit/>
        </a:bodyPr>
        <a:lstStyle xmlns:a="http://schemas.openxmlformats.org/drawingml/2006/main"/>
        <a:p xmlns:a="http://schemas.openxmlformats.org/drawingml/2006/main">
          <a:pPr algn="l" rtl="0">
            <a:defRPr sz="1000"/>
          </a:pPr>
          <a:r>
            <a:rPr lang="en-AU" sz="1000" b="0" i="0" u="none" strike="noStrike" baseline="0">
              <a:solidFill>
                <a:srgbClr val="000000"/>
              </a:solidFill>
              <a:latin typeface="Times New Roman"/>
              <a:cs typeface="Times New Roman"/>
            </a:rPr>
            <a:t>NEPM advisory standard</a:t>
          </a:r>
        </a:p>
      </cdr:txBody>
    </cdr:sp>
  </cdr:relSizeAnchor>
</c:userShape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532</TotalTime>
  <Pages>4</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Slade</dc:creator>
  <cp:lastModifiedBy>aileen power</cp:lastModifiedBy>
  <cp:revision>36</cp:revision>
  <dcterms:created xsi:type="dcterms:W3CDTF">2016-01-28T23:02:00Z</dcterms:created>
  <dcterms:modified xsi:type="dcterms:W3CDTF">2016-02-16T03:20:00Z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A11686344</vt:lpwstr>
  </property>
  <property fmtid="{D5CDD505-2E9C-101B-9397-08002B2CF9AE}" pid="4" name="Objective-Title">
    <vt:lpwstr>Air_theme fact sheet 2016</vt:lpwstr>
  </property>
  <property fmtid="{D5CDD505-2E9C-101B-9397-08002B2CF9AE}" pid="5" name="Objective-Comment">
    <vt:lpwstr/>
  </property>
  <property fmtid="{D5CDD505-2E9C-101B-9397-08002B2CF9AE}" pid="6" name="Objective-CreationStamp">
    <vt:filetime>2016-02-02T01:42:07Z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2016-02-16T03:20:55Z</vt:filetime>
  </property>
  <property fmtid="{D5CDD505-2E9C-101B-9397-08002B2CF9AE}" pid="10" name="Objective-ModificationStamp">
    <vt:filetime>2016-02-16T03:44:08Z</vt:filetime>
  </property>
  <property fmtid="{D5CDD505-2E9C-101B-9397-08002B2CF9AE}" pid="11" name="Objective-Owner">
    <vt:lpwstr>Aileen Power</vt:lpwstr>
  </property>
  <property fmtid="{D5CDD505-2E9C-101B-9397-08002B2CF9AE}" pid="12" name="Objective-Path">
    <vt:lpwstr>Whole of ACT Government:OCSE - Office of the Commissioner for Sustainability and the Environment:13 - OCSE - Reporting:State of Environment Reporting:ACT State of Environment Reporting:2015 SoER:2015 ACTSoER:FACT SHEETS:AIR:</vt:lpwstr>
  </property>
  <property fmtid="{D5CDD505-2E9C-101B-9397-08002B2CF9AE}" pid="13" name="Objective-Parent">
    <vt:lpwstr>AIR</vt:lpwstr>
  </property>
  <property fmtid="{D5CDD505-2E9C-101B-9397-08002B2CF9AE}" pid="14" name="Objective-State">
    <vt:lpwstr>Published</vt:lpwstr>
  </property>
  <property fmtid="{D5CDD505-2E9C-101B-9397-08002B2CF9AE}" pid="15" name="Objective-Version">
    <vt:lpwstr>19.0</vt:lpwstr>
  </property>
  <property fmtid="{D5CDD505-2E9C-101B-9397-08002B2CF9AE}" pid="16" name="Objective-VersionNumber">
    <vt:r8>21</vt:r8>
  </property>
  <property fmtid="{D5CDD505-2E9C-101B-9397-08002B2CF9AE}" pid="17" name="Objective-VersionComment">
    <vt:lpwstr/>
  </property>
  <property fmtid="{D5CDD505-2E9C-101B-9397-08002B2CF9AE}" pid="18" name="Objective-FileNumber">
    <vt:lpwstr>1-2013/15891</vt:lpwstr>
  </property>
  <property fmtid="{D5CDD505-2E9C-101B-9397-08002B2CF9AE}" pid="19" name="Objective-Classification">
    <vt:lpwstr>Unclassified (beige file cover)</vt:lpwstr>
  </property>
  <property fmtid="{D5CDD505-2E9C-101B-9397-08002B2CF9AE}" pid="20" name="Objective-Caveats">
    <vt:lpwstr/>
  </property>
  <property fmtid="{D5CDD505-2E9C-101B-9397-08002B2CF9AE}" pid="21" name="Objective-Owner Agency [system]">
    <vt:lpwstr>OCSE</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